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30" w:rsidRPr="007D3230" w:rsidRDefault="007D3230" w:rsidP="007D3230">
      <w:pPr>
        <w:jc w:val="center"/>
        <w:rPr>
          <w:rStyle w:val="Fuentedeprrafopredeter1"/>
          <w:rFonts w:ascii="Tahoma" w:eastAsia="Tahoma" w:hAnsi="Tahoma" w:cs="Tahoma"/>
          <w:sz w:val="20"/>
          <w:szCs w:val="20"/>
        </w:rPr>
      </w:pPr>
      <w:r w:rsidRPr="007D3230">
        <w:rPr>
          <w:rStyle w:val="Fuentedeprrafopredeter1"/>
          <w:rFonts w:ascii="Tahoma" w:eastAsia="Tahoma" w:hAnsi="Tahoma" w:cs="Tahoma"/>
          <w:b/>
          <w:sz w:val="20"/>
          <w:szCs w:val="20"/>
        </w:rPr>
        <w:t>Concurso Abierto de Antecedentes y Oposición</w:t>
      </w:r>
      <w:r w:rsidRPr="007D3230">
        <w:rPr>
          <w:rStyle w:val="Fuentedeprrafopredeter1"/>
          <w:rFonts w:ascii="Tahoma" w:eastAsia="Tahoma" w:hAnsi="Tahoma" w:cs="Tahoma"/>
          <w:sz w:val="20"/>
          <w:szCs w:val="20"/>
        </w:rPr>
        <w:t xml:space="preserve"> para cubrir un (1) cargo de Docente de Cerámica en la Escuela Municipal de Artes Plásticas Manuel </w:t>
      </w:r>
      <w:proofErr w:type="spellStart"/>
      <w:r w:rsidRPr="007D3230"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 w:rsidRPr="007D3230">
        <w:rPr>
          <w:rStyle w:val="Fuentedeprrafopredeter1"/>
          <w:rFonts w:ascii="Tahoma" w:eastAsia="Tahoma" w:hAnsi="Tahoma" w:cs="Tahoma"/>
          <w:sz w:val="20"/>
          <w:szCs w:val="20"/>
        </w:rPr>
        <w:t xml:space="preserve"> dependiente de la Secretaría de Cultura y Educación – Decreto Nº 0037/2025</w:t>
      </w:r>
    </w:p>
    <w:p w:rsidR="008D1A5C" w:rsidRPr="007D3230" w:rsidRDefault="007D3230">
      <w:pPr>
        <w:rPr>
          <w:rFonts w:ascii="Tahoma" w:hAnsi="Tahoma" w:cs="Tahoma"/>
          <w:b/>
          <w:sz w:val="24"/>
          <w:szCs w:val="24"/>
        </w:rPr>
      </w:pPr>
      <w:r w:rsidRPr="007D3230">
        <w:rPr>
          <w:rFonts w:ascii="Tahoma" w:hAnsi="Tahoma" w:cs="Tahoma"/>
          <w:b/>
          <w:sz w:val="24"/>
          <w:szCs w:val="24"/>
        </w:rPr>
        <w:t>Información para el/la postulante</w:t>
      </w:r>
    </w:p>
    <w:p w:rsidR="007D3230" w:rsidRPr="007D3230" w:rsidRDefault="007D3230">
      <w:pPr>
        <w:rPr>
          <w:rFonts w:ascii="Tahoma" w:hAnsi="Tahoma" w:cs="Tahoma"/>
          <w:sz w:val="20"/>
          <w:szCs w:val="20"/>
        </w:rPr>
      </w:pPr>
    </w:p>
    <w:p w:rsidR="007D3230" w:rsidRDefault="007D3230" w:rsidP="007D3230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</w:pPr>
      <w:r w:rsidRPr="007D3230"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El/la postulante seleccionado revistará en la planta de Personal No Permanente, en la modalidad de Transitorio, debiendo percibir una retribución mensual equivalente a la categoría 16 de la Planta de Personal Permanente y todas sus modificatorias. Si el resultado del concurso fuese favorable a un personal de Planta permanente de la Municipalidad de Rosario, se le otorgará la categoría 16.</w:t>
      </w:r>
    </w:p>
    <w:p w:rsidR="007D3230" w:rsidRPr="007D3230" w:rsidRDefault="007D3230" w:rsidP="007D3230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</w:pPr>
    </w:p>
    <w:p w:rsidR="007D3230" w:rsidRDefault="007D3230" w:rsidP="007D3230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</w:pPr>
      <w:r w:rsidRPr="007D3230"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 xml:space="preserve">                        El/La ganador/a del presente concurso deberá cumplir funciones docentes en el proyecto pedagógico anual de la escuela, incluyendo actividades de extensión comprendidas en la agenda institucional.</w:t>
      </w:r>
    </w:p>
    <w:p w:rsidR="001D5DD4" w:rsidRPr="007D3230" w:rsidRDefault="001D5DD4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3230" w:rsidRPr="007D3230" w:rsidRDefault="007D3230" w:rsidP="007D3230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  <w:r w:rsidRPr="007D3230">
        <w:rPr>
          <w:rStyle w:val="Fuentedeprrafopredeter1"/>
          <w:rFonts w:ascii="Tahoma" w:eastAsia="Tahoma" w:hAnsi="Tahoma" w:cs="Tahoma"/>
          <w:sz w:val="20"/>
          <w:szCs w:val="20"/>
        </w:rPr>
        <w:t xml:space="preserve">                         Se establecerá un Orden de Mérito, que tendrá vigencia por el término de veinticuatro (24) meses, que podrá ser utilizado para cubrir cargos de </w:t>
      </w:r>
      <w:r w:rsidRPr="007D3230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Docente de </w:t>
      </w:r>
      <w:r w:rsidRPr="007D3230">
        <w:rPr>
          <w:rStyle w:val="Fuentedeprrafopredeter1"/>
          <w:rFonts w:ascii="Tahoma" w:eastAsia="Tahoma" w:hAnsi="Tahoma" w:cs="Tahoma"/>
          <w:sz w:val="20"/>
          <w:szCs w:val="20"/>
        </w:rPr>
        <w:t>Cerámica</w:t>
      </w:r>
      <w:r w:rsidRPr="007D3230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en la Escuela Municipal de Artes Plásticas Manuel </w:t>
      </w:r>
      <w:proofErr w:type="spellStart"/>
      <w:r w:rsidRPr="007D3230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Musto</w:t>
      </w:r>
      <w:proofErr w:type="spellEnd"/>
      <w:r w:rsidRPr="007D3230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dependiente de la Secretaría de Cultura y Educación,</w:t>
      </w:r>
      <w:r w:rsidRPr="007D3230">
        <w:rPr>
          <w:rStyle w:val="Fuentedeprrafopredeter1"/>
          <w:rFonts w:ascii="Tahoma" w:eastAsia="Tahoma" w:hAnsi="Tahoma" w:cs="Tahoma"/>
          <w:sz w:val="20"/>
          <w:szCs w:val="20"/>
        </w:rPr>
        <w:t xml:space="preserve"> y para efectuar coberturas por licencias y/o ausencias transitorias que pudieran ocurrir en dicho lapso a contar desde la fecha que quede firme la publicación del mismo. Las personas que integren el orden de mérito serán designadas o prestarán servicio con la modalidad que indique la Secretaría de Cultura y Educación en el organismo antes mencionado, según posibilidades presupuestarias.</w:t>
      </w:r>
    </w:p>
    <w:p w:rsidR="007D3230" w:rsidRPr="007D3230" w:rsidRDefault="007D3230" w:rsidP="007D3230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</w:p>
    <w:p w:rsidR="007D3230" w:rsidRP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230">
        <w:rPr>
          <w:rFonts w:ascii="Tahoma" w:hAnsi="Tahoma" w:cs="Tahoma"/>
          <w:sz w:val="20"/>
          <w:szCs w:val="20"/>
        </w:rPr>
        <w:t xml:space="preserve">                        Quien resulte ganador/a del presente concurso, deberá en caso de ser necesario, que la institución lo establezca y que el perfil se adecue, efectuar coberturas por licencias y/o ausencias transitorias en los diferentes talleres de la Escuela Municipal de Artes Plásticas Manuel </w:t>
      </w:r>
      <w:proofErr w:type="spellStart"/>
      <w:r w:rsidRPr="007D3230">
        <w:rPr>
          <w:rFonts w:ascii="Tahoma" w:hAnsi="Tahoma" w:cs="Tahoma"/>
          <w:sz w:val="20"/>
          <w:szCs w:val="20"/>
        </w:rPr>
        <w:t>Musto</w:t>
      </w:r>
      <w:proofErr w:type="spellEnd"/>
      <w:r w:rsidRPr="007D3230">
        <w:rPr>
          <w:rFonts w:ascii="Tahoma" w:hAnsi="Tahoma" w:cs="Tahoma"/>
          <w:sz w:val="20"/>
          <w:szCs w:val="20"/>
        </w:rPr>
        <w:t xml:space="preserve"> dependiente de la Secretaría de Cultura y Educación.</w:t>
      </w:r>
    </w:p>
    <w:p w:rsidR="007D3230" w:rsidRP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3230" w:rsidRP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230">
        <w:rPr>
          <w:rFonts w:ascii="Tahoma" w:hAnsi="Tahoma" w:cs="Tahoma"/>
          <w:sz w:val="20"/>
          <w:szCs w:val="20"/>
        </w:rPr>
        <w:t xml:space="preserve">                         El/La postulante que resulte designado/</w:t>
      </w:r>
      <w:proofErr w:type="spellStart"/>
      <w:r w:rsidRPr="007D3230">
        <w:rPr>
          <w:rFonts w:ascii="Tahoma" w:hAnsi="Tahoma" w:cs="Tahoma"/>
          <w:sz w:val="20"/>
          <w:szCs w:val="20"/>
        </w:rPr>
        <w:t>a</w:t>
      </w:r>
      <w:proofErr w:type="spellEnd"/>
      <w:r w:rsidRPr="007D3230">
        <w:rPr>
          <w:rFonts w:ascii="Tahoma" w:hAnsi="Tahoma" w:cs="Tahoma"/>
          <w:sz w:val="20"/>
          <w:szCs w:val="20"/>
        </w:rPr>
        <w:t xml:space="preserve"> en el puesto a partir del presente proceso selectivo deberá permanecer en el mismo por un período de al menos cinco (5) años.</w:t>
      </w:r>
    </w:p>
    <w:p w:rsidR="007D3230" w:rsidRP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230">
        <w:rPr>
          <w:rFonts w:ascii="Tahoma" w:hAnsi="Tahoma" w:cs="Tahoma"/>
          <w:sz w:val="20"/>
          <w:szCs w:val="20"/>
        </w:rPr>
        <w:t>Cada año a partir del nombramiento con motivo del presente Concurso, el/la ocupante del cargo estará sujeto a una evaluación de desempeño según los mecanismos que oportunamente se definan.</w:t>
      </w:r>
    </w:p>
    <w:p w:rsid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3230" w:rsidRDefault="007D3230" w:rsidP="007D3230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Evaluación de competencias.</w:t>
      </w:r>
    </w:p>
    <w:p w:rsidR="007D3230" w:rsidRDefault="007D3230" w:rsidP="007D3230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lastRenderedPageBreak/>
        <w:t xml:space="preserve">                        El Concurso será de </w:t>
      </w: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Antecedentes y Oposición,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asignándose cuarenta (40) puntos y sesenta (60) puntos respectivamente.</w:t>
      </w:r>
    </w:p>
    <w:p w:rsidR="007D3230" w:rsidRDefault="007D3230" w:rsidP="007D3230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Fonts w:ascii="Tahoma" w:eastAsia="Tahoma" w:hAnsi="Tahoma" w:cs="Tahoma"/>
          <w:sz w:val="20"/>
          <w:szCs w:val="20"/>
          <w:shd w:val="clear" w:color="auto" w:fill="FFFFFF"/>
        </w:rPr>
        <w:t xml:space="preserve">                        Solamente serán evaluados/as los/as aspirantes que cumplan con los requisitos mínimos exigidos para la postulación al Concurso.</w:t>
      </w:r>
    </w:p>
    <w:p w:rsidR="007D3230" w:rsidRDefault="007D3230" w:rsidP="007D3230">
      <w:pPr>
        <w:spacing w:after="0" w:line="360" w:lineRule="auto"/>
        <w:jc w:val="both"/>
      </w:pPr>
    </w:p>
    <w:p w:rsidR="007D3230" w:rsidRDefault="007D3230" w:rsidP="007D3230">
      <w:pPr>
        <w:widowControl w:val="0"/>
        <w:spacing w:before="60"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  <w:shd w:val="clear" w:color="auto" w:fill="FFFFFF"/>
        </w:rPr>
        <w:t>Metodología</w:t>
      </w:r>
    </w:p>
    <w:p w:rsidR="007D3230" w:rsidRDefault="007D3230" w:rsidP="007D3230">
      <w:pPr>
        <w:spacing w:before="60"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                         La metodología para la evaluación de las competencias adecuadas al perfil del puesto, se estructura de la siguiente manera:</w:t>
      </w:r>
    </w:p>
    <w:p w:rsidR="007D3230" w:rsidRDefault="007D3230" w:rsidP="007D3230">
      <w:pPr>
        <w:spacing w:after="12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 xml:space="preserve">  1. Evaluación de antecedentes: 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>Tendrá una puntuación máxima de cuarenta (40) puntos y serán valorados de la siguiente manera:</w:t>
      </w:r>
    </w:p>
    <w:tbl>
      <w:tblPr>
        <w:tblW w:w="0" w:type="auto"/>
        <w:tblLayout w:type="fixed"/>
        <w:tblLook w:val="0000"/>
      </w:tblPr>
      <w:tblGrid>
        <w:gridCol w:w="7148"/>
        <w:gridCol w:w="2635"/>
      </w:tblGrid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  <w:shd w:val="clear" w:color="auto" w:fill="FFFFFF"/>
              </w:rPr>
              <w:t>Factores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  <w:shd w:val="clear" w:color="auto" w:fill="FFFFFF"/>
              </w:rPr>
              <w:t>Puntaje máximo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1. Títulos de estudios universitarios o terciarios en artes visuales y/o área afín.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9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2.  Estudios formales cursados o en curso afines a la materia o al rol docente (últimos 5 años) no se computan los que derivan en el título valuado en el ítem anterior)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5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3. Cursos de capacitación dictados y/o asistidos en la especialidad y/o en el rol docente. (últimos 10 años)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4.  Experiencia docente.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5.  Funciones y cargos desempeñados y que desempeña en la función pública.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6. Experiencia y/o participación en actividades vinculada al mundo de las artes visuales.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7. Antigüedad laboral en la Administración Pública. (Acreditable en la misma especialidad).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after="0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8. Gestiones y/o participaciones en proyectos culturales y producciones artísticas.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</w:t>
            </w:r>
          </w:p>
        </w:tc>
      </w:tr>
      <w:tr w:rsidR="007D3230" w:rsidTr="00FA42BB">
        <w:trPr>
          <w:trHeight w:val="283"/>
        </w:trPr>
        <w:tc>
          <w:tcPr>
            <w:tcW w:w="7148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 TOTAL</w:t>
            </w:r>
          </w:p>
        </w:tc>
        <w:tc>
          <w:tcPr>
            <w:tcW w:w="2635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40 PUNTOS</w:t>
            </w:r>
          </w:p>
        </w:tc>
      </w:tr>
    </w:tbl>
    <w:p w:rsidR="007D3230" w:rsidRDefault="007D3230" w:rsidP="007D3230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2. Evaluación de la Oposición.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Tendrá una puntuación máxima de sesenta (60) puntos, y se realizará de la siguiente manera:</w:t>
      </w:r>
    </w:p>
    <w:p w:rsidR="007D3230" w:rsidRDefault="007D3230" w:rsidP="007D3230">
      <w:pPr>
        <w:spacing w:after="0" w:line="360" w:lineRule="auto"/>
        <w:ind w:left="720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 xml:space="preserve">a) Evaluación de competencias técnico profesionales. 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>Se evalúa el proyecto de trabajo presentado por escrito. Tendrá una puntuación máxima de diez (10) puntos. Se evaluará teniendo en cuenta los siguientes tópicos:</w:t>
      </w:r>
    </w:p>
    <w:tbl>
      <w:tblPr>
        <w:tblW w:w="0" w:type="auto"/>
        <w:tblLayout w:type="fixed"/>
        <w:tblLook w:val="0000"/>
      </w:tblPr>
      <w:tblGrid>
        <w:gridCol w:w="7545"/>
        <w:gridCol w:w="2160"/>
      </w:tblGrid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Factores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</w:t>
            </w:r>
          </w:p>
        </w:tc>
      </w:tr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1. Expresión escrita y claridad expositiva (claridad de las ideas, consistencia lógica, coherencia, correcto uso del lenguaje etc.)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</w:t>
            </w:r>
          </w:p>
        </w:tc>
      </w:tr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2. Contenido del Plan de Trabajo.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</w:t>
            </w:r>
          </w:p>
        </w:tc>
      </w:tr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3. Conocimiento en la disciplina, dominio técnico.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</w:t>
            </w:r>
          </w:p>
        </w:tc>
      </w:tr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lastRenderedPageBreak/>
              <w:t>4. Viabilidad y factibilidad.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</w:t>
            </w:r>
          </w:p>
        </w:tc>
      </w:tr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5. Innovación / creatividad.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</w:t>
            </w:r>
          </w:p>
        </w:tc>
      </w:tr>
      <w:tr w:rsidR="007D3230" w:rsidTr="00FA42BB">
        <w:tc>
          <w:tcPr>
            <w:tcW w:w="7545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</w:t>
            </w:r>
          </w:p>
        </w:tc>
        <w:tc>
          <w:tcPr>
            <w:tcW w:w="2160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10 PUNTOS</w:t>
            </w:r>
          </w:p>
        </w:tc>
      </w:tr>
    </w:tbl>
    <w:p w:rsidR="007D3230" w:rsidRDefault="007D3230" w:rsidP="007D3230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7D3230" w:rsidRDefault="007D3230" w:rsidP="007D3230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ab/>
      </w: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b) Entrevistas personales: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La Junta Examinadora realizará entrevistas con cada postulante, valorando la defensa del Proyecto de Trabajo presentado. Tendrá una puntuación máxima de veinticinco (25) puntos y será valorado según los siguientes criterios:</w:t>
      </w:r>
    </w:p>
    <w:tbl>
      <w:tblPr>
        <w:tblW w:w="0" w:type="auto"/>
        <w:tblInd w:w="45" w:type="dxa"/>
        <w:tblLayout w:type="fixed"/>
        <w:tblLook w:val="0000"/>
      </w:tblPr>
      <w:tblGrid>
        <w:gridCol w:w="7769"/>
        <w:gridCol w:w="1930"/>
      </w:tblGrid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Factores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1. Comunicación verbal (predisposición, actitud, formas de comunicación, etc.)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2. Claridad expositiva (claridad de las ideas, consistencia lógica, coherencia, etc.)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3. Escucha activa y capacidad de autocrítica.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4. Conocimiento teórico-técnico de la disciplina.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5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5. Orientación al trabajo en equipo.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pStyle w:val="LO-Normal"/>
              <w:spacing w:after="0" w:line="276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6. -</w:t>
            </w:r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Ley 9256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III sección 4ta,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IV,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V, VI y VII                                                                           </w:t>
            </w:r>
          </w:p>
          <w:p w:rsidR="007D3230" w:rsidRDefault="007D3230" w:rsidP="00FA42BB">
            <w:pPr>
              <w:pStyle w:val="LO-Normal"/>
              <w:widowControl w:val="0"/>
              <w:tabs>
                <w:tab w:val="left" w:pos="0"/>
                <w:tab w:val="left" w:pos="720"/>
              </w:tabs>
              <w:spacing w:before="60" w:after="60" w:line="276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  -Ley 9286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III,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iv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15,16,17 y 18, art 40,41,42,43, </w:t>
            </w:r>
            <w:proofErr w:type="spellStart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>cap</w:t>
            </w:r>
            <w:proofErr w:type="spellEnd"/>
            <w:r>
              <w:rPr>
                <w:rStyle w:val="Fuentedeprrafopredeter1"/>
                <w:rFonts w:ascii="Tahoma" w:eastAsia="Tahoma" w:hAnsi="Tahoma" w:cs="Tahoma"/>
                <w:color w:val="000000"/>
                <w:sz w:val="20"/>
                <w:szCs w:val="20"/>
              </w:rPr>
              <w:t xml:space="preserve"> V           </w:t>
            </w:r>
          </w:p>
          <w:p w:rsidR="007D3230" w:rsidRDefault="007D3230" w:rsidP="00FA42BB">
            <w:pPr>
              <w:pStyle w:val="LO-Normal"/>
              <w:spacing w:after="200" w:line="276" w:lineRule="auto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 -Ordenanza 7899/2005 y Decreto Reglamentario 1840/2006.-</w:t>
            </w:r>
          </w:p>
          <w:p w:rsidR="007D3230" w:rsidRDefault="007D3230" w:rsidP="00FA42BB">
            <w:pPr>
              <w:jc w:val="both"/>
            </w:pPr>
            <w:r>
              <w:rPr>
                <w:rStyle w:val="Fuentedeprrafopredeter1"/>
                <w:rFonts w:ascii="Tahoma" w:hAnsi="Tahoma" w:cs="Tahoma"/>
                <w:color w:val="000000"/>
                <w:sz w:val="20"/>
                <w:szCs w:val="20"/>
              </w:rPr>
              <w:t xml:space="preserve">  -Ordenanza 10.062/2020 y su Decreto Reglamentario 1506/2020 sobre Protocolo de Actuación ante Situaciones de Violencia de Género en el Ámbito de la Administración Pública de la Municipalidad de Rosario</w:t>
            </w:r>
            <w:r>
              <w:rPr>
                <w:rStyle w:val="Fuentedeprrafopredeter1"/>
                <w:rFonts w:ascii="Tahoma" w:hAnsi="Tahoma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D3230" w:rsidRDefault="007D3230" w:rsidP="00FA42BB">
            <w:pPr>
              <w:spacing w:line="36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25 PUNTOS</w:t>
            </w:r>
          </w:p>
        </w:tc>
      </w:tr>
    </w:tbl>
    <w:p w:rsidR="007D3230" w:rsidRDefault="007D3230" w:rsidP="007D3230">
      <w:pPr>
        <w:spacing w:after="0" w:line="360" w:lineRule="auto"/>
        <w:jc w:val="both"/>
      </w:pPr>
    </w:p>
    <w:p w:rsidR="007D3230" w:rsidRDefault="007D3230" w:rsidP="007D3230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ab/>
        <w:t xml:space="preserve">c)  Dictado de una clase de 30 minutos de duración, a un grupo de alumnos/as a determinar. 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>Tendrá una puntuación máxima de veinticinco puntos (25) y será valorado según los siguientes criterios:</w:t>
      </w:r>
    </w:p>
    <w:tbl>
      <w:tblPr>
        <w:tblW w:w="0" w:type="auto"/>
        <w:tblInd w:w="45" w:type="dxa"/>
        <w:tblLayout w:type="fixed"/>
        <w:tblLook w:val="0000"/>
      </w:tblPr>
      <w:tblGrid>
        <w:gridCol w:w="7769"/>
        <w:gridCol w:w="1930"/>
      </w:tblGrid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Factores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1. Organización, dinámica y secuencia lógica de la clase.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2. Aptitud y actitud para la enseñanza de los conocimientos.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3. Capacidad de coordinación grupal y trabajo en equipo.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4. Flexibilidad/ permeabilidad ante las propuestas del grupo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5. Innovación / creatividad.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sz w:val="20"/>
                <w:szCs w:val="20"/>
              </w:rPr>
              <w:t>6</w:t>
            </w:r>
          </w:p>
        </w:tc>
      </w:tr>
      <w:tr w:rsidR="007D3230" w:rsidTr="00FA42BB">
        <w:tc>
          <w:tcPr>
            <w:tcW w:w="7769" w:type="dxa"/>
            <w:shd w:val="clear" w:color="auto" w:fill="FFFFFF"/>
          </w:tcPr>
          <w:p w:rsidR="007D3230" w:rsidRDefault="007D3230" w:rsidP="00FA42BB">
            <w:pPr>
              <w:spacing w:after="0" w:line="360" w:lineRule="auto"/>
              <w:jc w:val="both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PUNTAJE MÁXIMO TOTAL</w:t>
            </w:r>
          </w:p>
        </w:tc>
        <w:tc>
          <w:tcPr>
            <w:tcW w:w="1930" w:type="dxa"/>
            <w:shd w:val="clear" w:color="auto" w:fill="FFFFFF"/>
          </w:tcPr>
          <w:p w:rsidR="007D3230" w:rsidRDefault="007D3230" w:rsidP="00FA42BB">
            <w:pPr>
              <w:spacing w:line="360" w:lineRule="auto"/>
              <w:jc w:val="center"/>
            </w:pPr>
            <w:r>
              <w:rPr>
                <w:rStyle w:val="Fuentedeprrafopredeter1"/>
                <w:rFonts w:ascii="Tahoma" w:eastAsia="Tahoma" w:hAnsi="Tahoma" w:cs="Tahoma"/>
                <w:b/>
                <w:sz w:val="20"/>
                <w:szCs w:val="20"/>
              </w:rPr>
              <w:t>25 PUNTOS</w:t>
            </w:r>
          </w:p>
        </w:tc>
      </w:tr>
    </w:tbl>
    <w:p w:rsidR="007D3230" w:rsidRDefault="007D3230" w:rsidP="007D3230">
      <w:pPr>
        <w:spacing w:after="0" w:line="360" w:lineRule="auto"/>
        <w:ind w:right="170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</w:p>
    <w:p w:rsidR="007D3230" w:rsidRDefault="007D3230" w:rsidP="007D3230">
      <w:pPr>
        <w:spacing w:after="0" w:line="360" w:lineRule="auto"/>
        <w:ind w:right="170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Serán incorporados/as al Orden de Mérito aquellos/as candidatos/as que hayan alcanzado, al menos, el 65% del puntaje total (65 puntos). En el caso que no haya ningún/a candidato/a que alcance o supere dicho puntaje, el concurso será declarado desierto, pudiéndose realizar una nueva convocatoria. </w:t>
      </w:r>
    </w:p>
    <w:p w:rsidR="007D3230" w:rsidRDefault="007D3230" w:rsidP="007D3230">
      <w:pPr>
        <w:spacing w:after="0" w:line="360" w:lineRule="auto"/>
        <w:ind w:right="170"/>
        <w:jc w:val="both"/>
      </w:pPr>
    </w:p>
    <w:p w:rsidR="007D3230" w:rsidRPr="007D3230" w:rsidRDefault="007D3230" w:rsidP="007D323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3230" w:rsidRPr="007D3230" w:rsidRDefault="007D3230">
      <w:pPr>
        <w:rPr>
          <w:rFonts w:ascii="Tahoma" w:hAnsi="Tahoma" w:cs="Tahoma"/>
        </w:rPr>
      </w:pPr>
    </w:p>
    <w:sectPr w:rsidR="007D3230" w:rsidRPr="007D3230" w:rsidSect="008D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230"/>
    <w:rsid w:val="001D5DD4"/>
    <w:rsid w:val="007D3230"/>
    <w:rsid w:val="008D1A5C"/>
    <w:rsid w:val="0093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7D3230"/>
  </w:style>
  <w:style w:type="paragraph" w:customStyle="1" w:styleId="LO-Normal">
    <w:name w:val="LO-Normal"/>
    <w:rsid w:val="007D32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Calibri"/>
      <w:kern w:val="2"/>
      <w:lang w:val="es-MX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977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2</cp:revision>
  <dcterms:created xsi:type="dcterms:W3CDTF">2025-02-07T17:14:00Z</dcterms:created>
  <dcterms:modified xsi:type="dcterms:W3CDTF">2025-02-07T17:28:00Z</dcterms:modified>
</cp:coreProperties>
</file>