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5A5" w:rsidRDefault="00853EB0" w:rsidP="0091566F">
      <w:pPr>
        <w:pStyle w:val="Ttulo"/>
        <w:spacing w:after="120"/>
        <w:ind w:firstLine="357"/>
      </w:pPr>
      <w:r w:rsidRPr="00853EB0">
        <w:t>Instructivo</w:t>
      </w:r>
      <w:r>
        <w:t xml:space="preserve"> para el Proyecto de Regulación de Desagües Pluviales</w:t>
      </w:r>
    </w:p>
    <w:p w:rsidR="00853EB0" w:rsidRPr="0091566F" w:rsidRDefault="00853EB0" w:rsidP="0091566F">
      <w:pPr>
        <w:jc w:val="center"/>
        <w:rPr>
          <w:rStyle w:val="nfasissutil"/>
        </w:rPr>
      </w:pPr>
      <w:bookmarkStart w:id="0" w:name="PointTmp"/>
      <w:r w:rsidRPr="0091566F">
        <w:rPr>
          <w:rStyle w:val="nfasissutil"/>
        </w:rPr>
        <w:t>Según la ordenanza Nº 8334</w:t>
      </w:r>
      <w:bookmarkEnd w:id="0"/>
      <w:r w:rsidR="004338B3">
        <w:rPr>
          <w:rStyle w:val="nfasissutil"/>
        </w:rPr>
        <w:t>/08</w:t>
      </w:r>
      <w:r w:rsidRPr="0091566F">
        <w:rPr>
          <w:rStyle w:val="nfasissutil"/>
        </w:rPr>
        <w:t xml:space="preserve"> - Municipalidad de Rosario</w:t>
      </w:r>
    </w:p>
    <w:p w:rsidR="0091566F" w:rsidRPr="0091566F" w:rsidRDefault="0091566F" w:rsidP="0091566F">
      <w:r w:rsidRPr="0091566F">
        <w:t>La Dirección Gene</w:t>
      </w:r>
      <w:r w:rsidR="006B4F7C">
        <w:t xml:space="preserve">ral de Hidráulica y Saneamiento </w:t>
      </w:r>
      <w:r w:rsidRPr="0091566F">
        <w:t xml:space="preserve">brindará al recurrente la información relativa a </w:t>
      </w:r>
      <w:r w:rsidR="006B4F7C">
        <w:t xml:space="preserve">las </w:t>
      </w:r>
      <w:r w:rsidRPr="0091566F">
        <w:t>exigencias a cumplir para el proyecto de re</w:t>
      </w:r>
      <w:r w:rsidR="006B4F7C">
        <w:t>gulación de desagües pluviales tanto como</w:t>
      </w:r>
      <w:r w:rsidRPr="0091566F">
        <w:t xml:space="preserve"> </w:t>
      </w:r>
      <w:r w:rsidR="006B4F7C">
        <w:t>las estrategias posibles de implementación de l</w:t>
      </w:r>
      <w:r w:rsidRPr="0091566F">
        <w:t>os sistemas a construir.</w:t>
      </w:r>
    </w:p>
    <w:p w:rsidR="0091566F" w:rsidRPr="0091566F" w:rsidRDefault="0091566F" w:rsidP="0091566F">
      <w:r w:rsidRPr="0091566F">
        <w:t>Para los casos incluidos en la norma, es condición para tramitar el permiso d</w:t>
      </w:r>
      <w:r w:rsidR="009B3F75">
        <w:t>e edificación, contar con la aprobación</w:t>
      </w:r>
      <w:r w:rsidRPr="0091566F">
        <w:t xml:space="preserve"> previa del proyecto de regulación por parte de la Dirección de Proyectos de Hidráulica. Asimismo, para el trámite de Final de Obra se requerirá la aprobación de los trabajos de regulación realizados por parte de la mencionada Dirección General.</w:t>
      </w:r>
    </w:p>
    <w:p w:rsidR="0091566F" w:rsidRDefault="0091566F" w:rsidP="0091566F">
      <w:r w:rsidRPr="0091566F">
        <w:t>Con fines orientativos se realiza el presente instructivo a fin de despejar las dudas que pudieran tener lugar respecto de las consideraciones de la normativa vigente.</w:t>
      </w:r>
    </w:p>
    <w:p w:rsidR="00085659" w:rsidRDefault="0091566F" w:rsidP="00085659">
      <w:pPr>
        <w:pStyle w:val="Prrafodelista"/>
        <w:numPr>
          <w:ilvl w:val="0"/>
          <w:numId w:val="3"/>
        </w:numPr>
      </w:pPr>
      <w:r>
        <w:t>Definiciones:</w:t>
      </w:r>
    </w:p>
    <w:p w:rsidR="00085659" w:rsidRDefault="007D694D" w:rsidP="00085659">
      <w:pPr>
        <w:pStyle w:val="Prrafodelista"/>
        <w:numPr>
          <w:ilvl w:val="0"/>
          <w:numId w:val="6"/>
        </w:numPr>
      </w:pPr>
      <w:r>
        <w:t>Superficie impermeable:</w:t>
      </w:r>
      <w:r w:rsidR="00085659">
        <w:t xml:space="preserve"> </w:t>
      </w:r>
      <w:r>
        <w:t>Se entenderá de esta manera a la s</w:t>
      </w:r>
      <w:r w:rsidRPr="007D694D">
        <w:t>uperficie del predio menos la superficie</w:t>
      </w:r>
      <w:r>
        <w:t xml:space="preserve"> absorbente remanente del mismo producto de la implantación del proyecto.</w:t>
      </w:r>
    </w:p>
    <w:p w:rsidR="00085659" w:rsidRDefault="007D694D" w:rsidP="00085659">
      <w:pPr>
        <w:pStyle w:val="Prrafodelista"/>
        <w:numPr>
          <w:ilvl w:val="0"/>
          <w:numId w:val="6"/>
        </w:numPr>
      </w:pPr>
      <w:r>
        <w:t>Superficie de uso exclusivo:</w:t>
      </w:r>
      <w:r w:rsidR="00085659">
        <w:t xml:space="preserve"> </w:t>
      </w:r>
      <w:r>
        <w:t>Deberá comprenderse por tal a a</w:t>
      </w:r>
      <w:r w:rsidRPr="007D694D">
        <w:t xml:space="preserve">quellas </w:t>
      </w:r>
      <w:r>
        <w:t xml:space="preserve">superficies </w:t>
      </w:r>
      <w:r w:rsidRPr="007D694D">
        <w:t>en las que se prevé un lavado frecuente de pisos como ser, balcones</w:t>
      </w:r>
      <w:r w:rsidR="009B3F75">
        <w:t xml:space="preserve"> y patios de uso</w:t>
      </w:r>
      <w:r w:rsidRPr="007D694D">
        <w:t xml:space="preserve"> particulares.</w:t>
      </w:r>
    </w:p>
    <w:p w:rsidR="00085659" w:rsidRDefault="007D694D" w:rsidP="00085659">
      <w:pPr>
        <w:pStyle w:val="Prrafodelista"/>
        <w:numPr>
          <w:ilvl w:val="0"/>
          <w:numId w:val="6"/>
        </w:numPr>
      </w:pPr>
      <w:r>
        <w:t>Superficie de uso común:</w:t>
      </w:r>
      <w:r w:rsidR="00085659">
        <w:t xml:space="preserve"> </w:t>
      </w:r>
      <w:r>
        <w:t>Entendidas como aq</w:t>
      </w:r>
      <w:r w:rsidRPr="007D694D">
        <w:t>uellas</w:t>
      </w:r>
      <w:r>
        <w:t xml:space="preserve"> superficies</w:t>
      </w:r>
      <w:r w:rsidRPr="007D694D">
        <w:t xml:space="preserve"> en las que se prevé un lavado esporádico o ningún lavado de pisos como ser, azoteas (sean o no accesibles), cubierta de s</w:t>
      </w:r>
      <w:r w:rsidR="0071393C">
        <w:t>ala de máquinas</w:t>
      </w:r>
      <w:r w:rsidRPr="007D694D">
        <w:t>,</w:t>
      </w:r>
      <w:r w:rsidR="009958B5">
        <w:t xml:space="preserve"> patios de uso común,</w:t>
      </w:r>
      <w:r w:rsidRPr="007D694D">
        <w:t xml:space="preserve"> etc.</w:t>
      </w:r>
    </w:p>
    <w:p w:rsidR="0091566F" w:rsidRDefault="0091566F" w:rsidP="006816EB">
      <w:pPr>
        <w:pStyle w:val="Prrafodelista"/>
        <w:numPr>
          <w:ilvl w:val="0"/>
          <w:numId w:val="3"/>
        </w:numPr>
        <w:ind w:left="357" w:hanging="357"/>
      </w:pPr>
      <w:r>
        <w:t>Proyecto:</w:t>
      </w:r>
    </w:p>
    <w:p w:rsidR="00DD183C" w:rsidRDefault="00DD183C" w:rsidP="00DD183C">
      <w:pPr>
        <w:pStyle w:val="Prrafodelista"/>
        <w:numPr>
          <w:ilvl w:val="1"/>
          <w:numId w:val="3"/>
        </w:numPr>
      </w:pPr>
      <w:r>
        <w:t>Según origen y destino de las aguas:</w:t>
      </w:r>
    </w:p>
    <w:p w:rsidR="00DD183C" w:rsidRDefault="00DD183C" w:rsidP="00DD183C">
      <w:r>
        <w:t xml:space="preserve">El proyecto de reservorio deberá contar con un elemento diseñado para regular el agua pluvial libre de contaminantes, proveniente de las superficies pluviales de uso común. Este deberá erogar sus caudales a </w:t>
      </w:r>
      <w:r w:rsidRPr="00DD183C">
        <w:t xml:space="preserve">la infraestructura pluvial existente, </w:t>
      </w:r>
      <w:r w:rsidR="009272A2">
        <w:t xml:space="preserve">ya sea, </w:t>
      </w:r>
      <w:r w:rsidRPr="00DD183C">
        <w:t xml:space="preserve">cordón de vereda, zanja o conducto de carácter pluvial existente. En el caso de descarga a zanja existente, se recomienda para el diseño del sistema tener en cuenta </w:t>
      </w:r>
      <w:r w:rsidR="009272A2">
        <w:t>la cota de nivel</w:t>
      </w:r>
      <w:r w:rsidRPr="00DD183C">
        <w:t xml:space="preserve"> del cordón futuro.</w:t>
      </w:r>
    </w:p>
    <w:p w:rsidR="00DD183C" w:rsidRDefault="00DD183C" w:rsidP="00DD183C">
      <w:r>
        <w:t xml:space="preserve">Por otro </w:t>
      </w:r>
      <w:r w:rsidR="003B7F27">
        <w:t>lado,</w:t>
      </w:r>
      <w:r>
        <w:t xml:space="preserve"> deberá contarse con un sistema regulador para las aguas pluviales contaminadas con productos de limpieza, como las originadas en superficies de uso exclusivo</w:t>
      </w:r>
      <w:r w:rsidR="00C21999">
        <w:t xml:space="preserve"> (balcones)</w:t>
      </w:r>
      <w:r>
        <w:t xml:space="preserve">. </w:t>
      </w:r>
      <w:r w:rsidRPr="00DD183C">
        <w:t>El reservorio en este caso deberá escurrir a una cámara de inspección cloacal previo a la colectora.</w:t>
      </w:r>
    </w:p>
    <w:p w:rsidR="00DD183C" w:rsidRDefault="00DD183C" w:rsidP="00DD183C">
      <w:r>
        <w:t xml:space="preserve">Ambos reservorios pueden proyectarse de manera independiente o mediante un sistema combinado, al cual se hará referencia en el ítem </w:t>
      </w:r>
      <w:r w:rsidRPr="000A1B81">
        <w:t>(</w:t>
      </w:r>
      <w:r w:rsidR="000A1B81" w:rsidRPr="000A1B81">
        <w:t>6.3</w:t>
      </w:r>
      <w:r w:rsidRPr="000A1B81">
        <w:t>)</w:t>
      </w:r>
      <w:r w:rsidR="00C21999">
        <w:t xml:space="preserve"> siguiente</w:t>
      </w:r>
      <w:r>
        <w:t xml:space="preserve">. </w:t>
      </w:r>
    </w:p>
    <w:p w:rsidR="00DD183C" w:rsidRDefault="00DD183C" w:rsidP="00657389">
      <w:pPr>
        <w:pStyle w:val="Prrafodelista"/>
        <w:numPr>
          <w:ilvl w:val="1"/>
          <w:numId w:val="3"/>
        </w:numPr>
        <w:ind w:left="788" w:hanging="431"/>
      </w:pPr>
      <w:r>
        <w:t xml:space="preserve">Según superficie y altura de la edificación: </w:t>
      </w:r>
    </w:p>
    <w:p w:rsidR="00657389" w:rsidRDefault="00657389" w:rsidP="00657389">
      <w:pPr>
        <w:pStyle w:val="Prrafodelista"/>
        <w:numPr>
          <w:ilvl w:val="2"/>
          <w:numId w:val="3"/>
        </w:numPr>
      </w:pPr>
      <w:r>
        <w:t>Sistema regulador para superficies menores a 1000m</w:t>
      </w:r>
      <w:r w:rsidRPr="006C1D2F">
        <w:rPr>
          <w:vertAlign w:val="superscript"/>
        </w:rPr>
        <w:t>2</w:t>
      </w:r>
      <w:r>
        <w:t xml:space="preserve">: </w:t>
      </w:r>
    </w:p>
    <w:p w:rsidR="00657389" w:rsidRDefault="00657389" w:rsidP="00657389">
      <w:r>
        <w:lastRenderedPageBreak/>
        <w:t>En los proyectos de edificios de cualquier tipo, de más de 2</w:t>
      </w:r>
      <w:r w:rsidR="0010642B">
        <w:t>3m de altura o más de 500</w:t>
      </w:r>
      <w:r>
        <w:t>m</w:t>
      </w:r>
      <w:r w:rsidRPr="006C1D2F">
        <w:rPr>
          <w:vertAlign w:val="superscript"/>
        </w:rPr>
        <w:t>2</w:t>
      </w:r>
      <w:r>
        <w:t xml:space="preserve"> de superficie impermea</w:t>
      </w:r>
      <w:r w:rsidR="0010642B">
        <w:t>bilizante, ubicados en zonas 2</w:t>
      </w:r>
      <w:r w:rsidR="00C21999">
        <w:t>,</w:t>
      </w:r>
      <w:r>
        <w:t xml:space="preserve"> </w:t>
      </w:r>
      <w:r w:rsidR="0010642B">
        <w:t>3</w:t>
      </w:r>
      <w:r w:rsidR="00C21999">
        <w:t xml:space="preserve"> y </w:t>
      </w:r>
      <w:r w:rsidR="0010642B">
        <w:t>4</w:t>
      </w:r>
      <w:r>
        <w:t xml:space="preserve">, se incorporarán sistemas retardadores </w:t>
      </w:r>
      <w:r w:rsidRPr="006C1D2F">
        <w:t>de escurrimiento. El sistema estará constituido básicamente por un reservorio con un volumen útil según los valores</w:t>
      </w:r>
      <w:r w:rsidR="006816EB" w:rsidRPr="006C1D2F">
        <w:t xml:space="preserve"> indicados en la tabla 1</w:t>
      </w:r>
      <w:r w:rsidRPr="006C1D2F">
        <w:t xml:space="preserve"> </w:t>
      </w:r>
      <w:r w:rsidR="003E5FA4" w:rsidRPr="006C1D2F">
        <w:t>establecidos por</w:t>
      </w:r>
      <w:r w:rsidRPr="006C1D2F">
        <w:t xml:space="preserve"> la </w:t>
      </w:r>
      <w:r w:rsidRPr="006C1D2F">
        <w:rPr>
          <w:i/>
        </w:rPr>
        <w:t>ordenanza</w:t>
      </w:r>
      <w:r w:rsidR="006816EB" w:rsidRPr="006C1D2F">
        <w:rPr>
          <w:i/>
        </w:rPr>
        <w:t xml:space="preserve"> 8334/2008</w:t>
      </w:r>
      <w:r w:rsidRPr="006C1D2F">
        <w:t>. El</w:t>
      </w:r>
      <w:r>
        <w:t xml:space="preserve"> </w:t>
      </w:r>
      <w:r w:rsidR="00C35E56">
        <w:t>embalse</w:t>
      </w:r>
      <w:r>
        <w:t xml:space="preserve"> del reservorio podrá materializarse mediante tanques</w:t>
      </w:r>
      <w:r w:rsidR="00C35E56">
        <w:t xml:space="preserve"> prefabricados</w:t>
      </w:r>
      <w:r>
        <w:t>, cámaras In-Situ, conductos u otro tipo de elemento apto para el deposito transitorio de agua de lluvia.</w:t>
      </w:r>
    </w:p>
    <w:p w:rsidR="006816EB" w:rsidRDefault="00857BF4" w:rsidP="005111EC">
      <w:r w:rsidRPr="00857BF4">
        <w:t>Si el proyecto propuesto incluye bombeo deberá presentarse un cálculo detallado con las mismas consideraciones que las construcciones que superan los 1000m²</w:t>
      </w:r>
      <w:r w:rsidR="008520E4">
        <w:t xml:space="preserve"> (ítem 2.2.2)</w:t>
      </w:r>
      <w:r w:rsidRPr="00857BF4">
        <w:t>.</w:t>
      </w:r>
    </w:p>
    <w:p w:rsidR="00501B11" w:rsidRDefault="006C1D2F" w:rsidP="00501B11">
      <w:r>
        <w:t>Debido a</w:t>
      </w:r>
      <w:r w:rsidR="00501B11">
        <w:t xml:space="preserve"> que en la tabla de la ordenanza hay diámetro</w:t>
      </w:r>
      <w:r w:rsidR="00C21999">
        <w:t>s</w:t>
      </w:r>
      <w:r w:rsidR="00501B11">
        <w:t xml:space="preserve"> que no existen com</w:t>
      </w:r>
      <w:r w:rsidR="00C21999">
        <w:t xml:space="preserve">ercialmente y no tiene </w:t>
      </w:r>
      <w:r>
        <w:t>en consideración</w:t>
      </w:r>
      <w:r w:rsidR="00501B11">
        <w:t xml:space="preserve"> la</w:t>
      </w:r>
      <w:r w:rsidR="005111EC">
        <w:t xml:space="preserve"> altura de</w:t>
      </w:r>
      <w:r w:rsidR="00C21999">
        <w:t xml:space="preserve"> presión</w:t>
      </w:r>
      <w:r w:rsidR="00501B11">
        <w:t xml:space="preserve"> (altura del tan</w:t>
      </w:r>
      <w:r w:rsidR="00C21999">
        <w:t>que), a continuación, se adjunta</w:t>
      </w:r>
      <w:r w:rsidR="00501B11">
        <w:t xml:space="preserve"> la tabla que se debe utilizar para adoptar el diámetro de la reducción en función de la superficie impermeable y de la</w:t>
      </w:r>
      <w:r w:rsidR="005111EC">
        <w:t xml:space="preserve"> altura de</w:t>
      </w:r>
      <w:r w:rsidR="00501B11">
        <w:t xml:space="preserve"> presión.</w:t>
      </w:r>
    </w:p>
    <w:p w:rsidR="00501B11" w:rsidRDefault="005111EC" w:rsidP="005111EC">
      <w:pPr>
        <w:ind w:firstLine="0"/>
        <w:jc w:val="center"/>
      </w:pPr>
      <w:r w:rsidRPr="005111EC">
        <w:rPr>
          <w:noProof/>
          <w:lang w:val="es-ES" w:eastAsia="es-ES"/>
        </w:rPr>
        <w:lastRenderedPageBreak/>
        <w:drawing>
          <wp:inline distT="0" distB="0" distL="0" distR="0">
            <wp:extent cx="3867150" cy="65817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6581775"/>
                    </a:xfrm>
                    <a:prstGeom prst="rect">
                      <a:avLst/>
                    </a:prstGeom>
                    <a:noFill/>
                    <a:ln>
                      <a:noFill/>
                    </a:ln>
                  </pic:spPr>
                </pic:pic>
              </a:graphicData>
            </a:graphic>
          </wp:inline>
        </w:drawing>
      </w:r>
    </w:p>
    <w:p w:rsidR="00C21999" w:rsidRPr="00C21999" w:rsidRDefault="005111EC" w:rsidP="00C21999">
      <w:pPr>
        <w:pStyle w:val="Descripcin"/>
        <w:jc w:val="center"/>
        <w:rPr>
          <w:b w:val="0"/>
          <w:i/>
          <w:color w:val="000000" w:themeColor="text1"/>
        </w:rPr>
      </w:pPr>
      <w:r w:rsidRPr="00857BF4">
        <w:rPr>
          <w:b w:val="0"/>
          <w:i/>
          <w:color w:val="000000" w:themeColor="text1"/>
        </w:rPr>
        <w:t xml:space="preserve">Tabla </w:t>
      </w:r>
      <w:r w:rsidRPr="00857BF4">
        <w:rPr>
          <w:b w:val="0"/>
          <w:i/>
          <w:color w:val="000000" w:themeColor="text1"/>
        </w:rPr>
        <w:fldChar w:fldCharType="begin"/>
      </w:r>
      <w:r w:rsidRPr="00857BF4">
        <w:rPr>
          <w:b w:val="0"/>
          <w:i/>
          <w:color w:val="000000" w:themeColor="text1"/>
        </w:rPr>
        <w:instrText xml:space="preserve"> SEQ Tabla \* ARABIC </w:instrText>
      </w:r>
      <w:r w:rsidRPr="00857BF4">
        <w:rPr>
          <w:b w:val="0"/>
          <w:i/>
          <w:color w:val="000000" w:themeColor="text1"/>
        </w:rPr>
        <w:fldChar w:fldCharType="separate"/>
      </w:r>
      <w:r w:rsidR="00DF6C72">
        <w:rPr>
          <w:b w:val="0"/>
          <w:i/>
          <w:noProof/>
          <w:color w:val="000000" w:themeColor="text1"/>
        </w:rPr>
        <w:t>1</w:t>
      </w:r>
      <w:r w:rsidRPr="00857BF4">
        <w:rPr>
          <w:b w:val="0"/>
          <w:i/>
          <w:color w:val="000000" w:themeColor="text1"/>
        </w:rPr>
        <w:fldChar w:fldCharType="end"/>
      </w:r>
      <w:r>
        <w:rPr>
          <w:b w:val="0"/>
          <w:i/>
          <w:color w:val="000000" w:themeColor="text1"/>
        </w:rPr>
        <w:t>: V</w:t>
      </w:r>
      <w:r w:rsidRPr="00857BF4">
        <w:rPr>
          <w:b w:val="0"/>
          <w:i/>
          <w:color w:val="000000" w:themeColor="text1"/>
        </w:rPr>
        <w:t xml:space="preserve">olúmenes y </w:t>
      </w:r>
      <w:r>
        <w:rPr>
          <w:b w:val="0"/>
          <w:i/>
          <w:color w:val="000000" w:themeColor="text1"/>
        </w:rPr>
        <w:t>r</w:t>
      </w:r>
      <w:r w:rsidRPr="00857BF4">
        <w:rPr>
          <w:b w:val="0"/>
          <w:i/>
          <w:color w:val="000000" w:themeColor="text1"/>
        </w:rPr>
        <w:t>educciones</w:t>
      </w:r>
      <w:r>
        <w:rPr>
          <w:b w:val="0"/>
          <w:i/>
          <w:color w:val="000000" w:themeColor="text1"/>
        </w:rPr>
        <w:t xml:space="preserve"> </w:t>
      </w:r>
      <w:r w:rsidRPr="00857BF4">
        <w:rPr>
          <w:b w:val="0"/>
          <w:i/>
          <w:color w:val="000000" w:themeColor="text1"/>
        </w:rPr>
        <w:t xml:space="preserve">según la </w:t>
      </w:r>
      <w:r>
        <w:rPr>
          <w:b w:val="0"/>
          <w:i/>
          <w:color w:val="000000" w:themeColor="text1"/>
        </w:rPr>
        <w:t>s</w:t>
      </w:r>
      <w:r w:rsidRPr="00857BF4">
        <w:rPr>
          <w:b w:val="0"/>
          <w:i/>
          <w:color w:val="000000" w:themeColor="text1"/>
        </w:rPr>
        <w:t xml:space="preserve">uperficie </w:t>
      </w:r>
      <w:r>
        <w:rPr>
          <w:b w:val="0"/>
          <w:i/>
          <w:color w:val="000000" w:themeColor="text1"/>
        </w:rPr>
        <w:t>i</w:t>
      </w:r>
      <w:r w:rsidRPr="00857BF4">
        <w:rPr>
          <w:b w:val="0"/>
          <w:i/>
          <w:color w:val="000000" w:themeColor="text1"/>
        </w:rPr>
        <w:t>mpermeable.</w:t>
      </w:r>
    </w:p>
    <w:p w:rsidR="006816EB" w:rsidRDefault="006816EB" w:rsidP="006816EB">
      <w:pPr>
        <w:pStyle w:val="Prrafodelista"/>
        <w:numPr>
          <w:ilvl w:val="2"/>
          <w:numId w:val="3"/>
        </w:numPr>
      </w:pPr>
      <w:r w:rsidRPr="006816EB">
        <w:t>Sistema Regulador para Superficies Mayores a 1000m2</w:t>
      </w:r>
      <w:r>
        <w:t>:</w:t>
      </w:r>
    </w:p>
    <w:p w:rsidR="002914ED" w:rsidRDefault="006816EB" w:rsidP="002914ED">
      <w:r w:rsidRPr="006816EB">
        <w:t xml:space="preserve">El proyecto debe apoyarse en un estudio hidrológico–hidráulico realizado por un ingeniero civil, en construcciones o en recursos hídricos, según lo expuesto en la </w:t>
      </w:r>
      <w:r w:rsidRPr="00294F85">
        <w:rPr>
          <w:i/>
        </w:rPr>
        <w:t xml:space="preserve">Ley Provincial 13246/2012 – Estabilización del Arroyo Ludueña </w:t>
      </w:r>
      <w:r w:rsidRPr="00294F85">
        <w:t>más</w:t>
      </w:r>
      <w:r w:rsidRPr="00294F85">
        <w:rPr>
          <w:i/>
        </w:rPr>
        <w:t xml:space="preserve"> la Ordenanza Municipal 8334/2008</w:t>
      </w:r>
      <w:r w:rsidRPr="006816EB">
        <w:t>.</w:t>
      </w:r>
      <w:r>
        <w:t xml:space="preserve"> </w:t>
      </w:r>
      <w:r w:rsidRPr="001B7994">
        <w:t xml:space="preserve">Para dicho cálculo se deberán tener en cuenta los </w:t>
      </w:r>
      <w:r w:rsidR="00D97853">
        <w:t xml:space="preserve">siguientes parámetros </w:t>
      </w:r>
      <w:r w:rsidR="003E5FA4">
        <w:t xml:space="preserve">y secuencia </w:t>
      </w:r>
      <w:r w:rsidR="00D97853">
        <w:t>de diseño:</w:t>
      </w:r>
    </w:p>
    <w:p w:rsidR="00C21999" w:rsidRDefault="00C21999" w:rsidP="002914ED"/>
    <w:p w:rsidR="00EB2118" w:rsidRDefault="00EB2118" w:rsidP="00EB2118">
      <w:pPr>
        <w:pStyle w:val="Prrafodelista"/>
        <w:numPr>
          <w:ilvl w:val="3"/>
          <w:numId w:val="3"/>
        </w:numPr>
      </w:pPr>
      <w:r>
        <w:lastRenderedPageBreak/>
        <w:t>Caudal pico generado:</w:t>
      </w:r>
    </w:p>
    <w:p w:rsidR="00EB2118" w:rsidRDefault="002A0D24" w:rsidP="00EB2118">
      <w:r>
        <w:t>El caudal pico generado se c</w:t>
      </w:r>
      <w:r w:rsidR="00EB2118" w:rsidRPr="00EB2118">
        <w:t>orrespon</w:t>
      </w:r>
      <w:r w:rsidR="002914ED">
        <w:t>de</w:t>
      </w:r>
      <w:r>
        <w:t xml:space="preserve"> con</w:t>
      </w:r>
      <w:r w:rsidR="002914ED">
        <w:t xml:space="preserve"> </w:t>
      </w:r>
      <w:r>
        <w:t>e</w:t>
      </w:r>
      <w:r w:rsidR="002914ED">
        <w:t>l</w:t>
      </w:r>
      <w:r w:rsidR="00EB2118" w:rsidRPr="00EB2118">
        <w:t xml:space="preserve"> tiempo de concentración</w:t>
      </w:r>
      <w:r w:rsidR="00220DF8">
        <w:t>,</w:t>
      </w:r>
      <w:r w:rsidR="00EB2118" w:rsidRPr="00EB2118">
        <w:t xml:space="preserve"> </w:t>
      </w:r>
      <w:r w:rsidR="002914ED">
        <w:t>adoptando como mínimo 5 minutos para 5 años de recurrencia y 15 minutos para 100 años de recurrencia.</w:t>
      </w:r>
    </w:p>
    <w:p w:rsidR="006D22E2" w:rsidRDefault="006D22E2" w:rsidP="00EB2118">
      <w:r>
        <w:t xml:space="preserve">En la siguiente tabla se pueden ver los valores de referencia de velocidades máximas del flujo, para estimar el tiempo de concentración: </w:t>
      </w:r>
    </w:p>
    <w:tbl>
      <w:tblPr>
        <w:tblpPr w:leftFromText="141" w:rightFromText="141" w:vertAnchor="text" w:horzAnchor="margin" w:tblpY="82"/>
        <w:tblW w:w="5000" w:type="pct"/>
        <w:tblCellMar>
          <w:top w:w="55" w:type="dxa"/>
          <w:left w:w="55" w:type="dxa"/>
          <w:bottom w:w="55" w:type="dxa"/>
          <w:right w:w="55" w:type="dxa"/>
        </w:tblCellMar>
        <w:tblLook w:val="0000" w:firstRow="0" w:lastRow="0" w:firstColumn="0" w:lastColumn="0" w:noHBand="0" w:noVBand="0"/>
      </w:tblPr>
      <w:tblGrid>
        <w:gridCol w:w="5250"/>
        <w:gridCol w:w="3253"/>
      </w:tblGrid>
      <w:tr w:rsidR="006D22E2" w:rsidRPr="006D22E2" w:rsidTr="005D1BA0">
        <w:tc>
          <w:tcPr>
            <w:tcW w:w="3087" w:type="pct"/>
            <w:tcBorders>
              <w:top w:val="single" w:sz="1" w:space="0" w:color="000000"/>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TIPO DE ESCURRIMIENTO</w:t>
            </w:r>
          </w:p>
        </w:tc>
        <w:tc>
          <w:tcPr>
            <w:tcW w:w="1913"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VELOCIDAD MAXIMA</w:t>
            </w:r>
          </w:p>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PROMEDIO DEL FLUJO</w:t>
            </w:r>
          </w:p>
        </w:tc>
      </w:tr>
      <w:tr w:rsidR="006D22E2" w:rsidRPr="006D22E2" w:rsidTr="005D1BA0">
        <w:tc>
          <w:tcPr>
            <w:tcW w:w="3087" w:type="pct"/>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Flujo no concentrado en campos, zonas verdes, parques y jardines</w:t>
            </w:r>
          </w:p>
        </w:tc>
        <w:tc>
          <w:tcPr>
            <w:tcW w:w="1913"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0,1 m/</w:t>
            </w:r>
            <w:proofErr w:type="spellStart"/>
            <w:r w:rsidRPr="006D22E2">
              <w:rPr>
                <w:rFonts w:eastAsia="Times New Roman"/>
                <w:lang w:val="es-ES" w:eastAsia="ar-SA"/>
              </w:rPr>
              <w:t>seg</w:t>
            </w:r>
            <w:proofErr w:type="spellEnd"/>
            <w:r w:rsidRPr="006D22E2">
              <w:rPr>
                <w:rFonts w:eastAsia="Times New Roman"/>
                <w:lang w:val="es-ES" w:eastAsia="ar-SA"/>
              </w:rPr>
              <w:t>.</w:t>
            </w:r>
          </w:p>
        </w:tc>
      </w:tr>
      <w:tr w:rsidR="006D22E2" w:rsidRPr="006D22E2" w:rsidTr="005D1BA0">
        <w:tc>
          <w:tcPr>
            <w:tcW w:w="3087" w:type="pct"/>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Flujo no concentrado en pavimentos</w:t>
            </w:r>
          </w:p>
        </w:tc>
        <w:tc>
          <w:tcPr>
            <w:tcW w:w="1913"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0,35 m/</w:t>
            </w:r>
            <w:proofErr w:type="spellStart"/>
            <w:r w:rsidRPr="006D22E2">
              <w:rPr>
                <w:rFonts w:eastAsia="Times New Roman"/>
                <w:lang w:val="es-ES" w:eastAsia="ar-SA"/>
              </w:rPr>
              <w:t>seg</w:t>
            </w:r>
            <w:proofErr w:type="spellEnd"/>
            <w:r w:rsidRPr="006D22E2">
              <w:rPr>
                <w:rFonts w:eastAsia="Times New Roman"/>
                <w:lang w:val="es-ES" w:eastAsia="ar-SA"/>
              </w:rPr>
              <w:t>.</w:t>
            </w:r>
          </w:p>
        </w:tc>
      </w:tr>
      <w:tr w:rsidR="006D22E2" w:rsidRPr="006D22E2" w:rsidTr="005D1BA0">
        <w:tc>
          <w:tcPr>
            <w:tcW w:w="3087" w:type="pct"/>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Flujo en cordón-cuneta</w:t>
            </w:r>
          </w:p>
        </w:tc>
        <w:tc>
          <w:tcPr>
            <w:tcW w:w="1913"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0,6 m/</w:t>
            </w:r>
            <w:proofErr w:type="spellStart"/>
            <w:r w:rsidRPr="006D22E2">
              <w:rPr>
                <w:rFonts w:eastAsia="Times New Roman"/>
                <w:lang w:val="es-ES" w:eastAsia="ar-SA"/>
              </w:rPr>
              <w:t>seg</w:t>
            </w:r>
            <w:proofErr w:type="spellEnd"/>
            <w:r w:rsidRPr="006D22E2">
              <w:rPr>
                <w:rFonts w:eastAsia="Times New Roman"/>
                <w:lang w:val="es-ES" w:eastAsia="ar-SA"/>
              </w:rPr>
              <w:t>.</w:t>
            </w:r>
          </w:p>
        </w:tc>
      </w:tr>
      <w:tr w:rsidR="006D22E2" w:rsidRPr="006D22E2" w:rsidTr="005D1BA0">
        <w:tc>
          <w:tcPr>
            <w:tcW w:w="3087" w:type="pct"/>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Flujo en zanjas y canales excavados</w:t>
            </w:r>
          </w:p>
        </w:tc>
        <w:tc>
          <w:tcPr>
            <w:tcW w:w="1913"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1,1 m/</w:t>
            </w:r>
            <w:proofErr w:type="spellStart"/>
            <w:r w:rsidRPr="006D22E2">
              <w:rPr>
                <w:rFonts w:eastAsia="Times New Roman"/>
                <w:lang w:val="es-ES" w:eastAsia="ar-SA"/>
              </w:rPr>
              <w:t>seg</w:t>
            </w:r>
            <w:proofErr w:type="spellEnd"/>
            <w:r w:rsidRPr="006D22E2">
              <w:rPr>
                <w:rFonts w:eastAsia="Times New Roman"/>
                <w:lang w:val="es-ES" w:eastAsia="ar-SA"/>
              </w:rPr>
              <w:t>.</w:t>
            </w:r>
          </w:p>
        </w:tc>
      </w:tr>
      <w:tr w:rsidR="006D22E2" w:rsidRPr="006D22E2" w:rsidTr="005D1BA0">
        <w:tc>
          <w:tcPr>
            <w:tcW w:w="3087" w:type="pct"/>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Flujo en conductos de hormigón</w:t>
            </w:r>
          </w:p>
        </w:tc>
        <w:tc>
          <w:tcPr>
            <w:tcW w:w="1913"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1,3 m/</w:t>
            </w:r>
            <w:proofErr w:type="spellStart"/>
            <w:r w:rsidRPr="006D22E2">
              <w:rPr>
                <w:rFonts w:eastAsia="Times New Roman"/>
                <w:lang w:val="es-ES" w:eastAsia="ar-SA"/>
              </w:rPr>
              <w:t>seg</w:t>
            </w:r>
            <w:proofErr w:type="spellEnd"/>
            <w:r w:rsidRPr="006D22E2">
              <w:rPr>
                <w:rFonts w:eastAsia="Times New Roman"/>
                <w:lang w:val="es-ES" w:eastAsia="ar-SA"/>
              </w:rPr>
              <w:t>.</w:t>
            </w:r>
          </w:p>
        </w:tc>
      </w:tr>
      <w:tr w:rsidR="006D22E2" w:rsidRPr="006D22E2" w:rsidTr="005D1BA0">
        <w:tc>
          <w:tcPr>
            <w:tcW w:w="3087" w:type="pct"/>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Flujo en canales revestidos de hormigón</w:t>
            </w:r>
          </w:p>
        </w:tc>
        <w:tc>
          <w:tcPr>
            <w:tcW w:w="1913"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1,4 m/</w:t>
            </w:r>
            <w:proofErr w:type="spellStart"/>
            <w:r w:rsidRPr="006D22E2">
              <w:rPr>
                <w:rFonts w:eastAsia="Times New Roman"/>
                <w:lang w:val="es-ES" w:eastAsia="ar-SA"/>
              </w:rPr>
              <w:t>seg</w:t>
            </w:r>
            <w:proofErr w:type="spellEnd"/>
            <w:r w:rsidRPr="006D22E2">
              <w:rPr>
                <w:rFonts w:eastAsia="Times New Roman"/>
                <w:lang w:val="es-ES" w:eastAsia="ar-SA"/>
              </w:rPr>
              <w:t>.</w:t>
            </w:r>
          </w:p>
        </w:tc>
      </w:tr>
    </w:tbl>
    <w:p w:rsidR="001368BF" w:rsidRDefault="001368BF" w:rsidP="006D22E2"/>
    <w:p w:rsidR="006D22E2" w:rsidRDefault="006D22E2" w:rsidP="006D22E2">
      <w:r>
        <w:t xml:space="preserve">En el caso de emplear para el cálculo el método racional se establecen los siguientes coeficientes de </w:t>
      </w:r>
      <w:r w:rsidR="002A0D24">
        <w:t>escurrimiento (</w:t>
      </w:r>
      <w:r>
        <w:t>escorrentía</w:t>
      </w:r>
      <w:r w:rsidR="002A0D24">
        <w:t>)</w:t>
      </w:r>
      <w:r>
        <w:t xml:space="preserve"> a utilizar:</w:t>
      </w:r>
    </w:p>
    <w:tbl>
      <w:tblPr>
        <w:tblW w:w="5000" w:type="pct"/>
        <w:tblCellMar>
          <w:top w:w="55" w:type="dxa"/>
          <w:left w:w="55" w:type="dxa"/>
          <w:bottom w:w="55" w:type="dxa"/>
          <w:right w:w="55" w:type="dxa"/>
        </w:tblCellMar>
        <w:tblLook w:val="0000" w:firstRow="0" w:lastRow="0" w:firstColumn="0" w:lastColumn="0" w:noHBand="0" w:noVBand="0"/>
      </w:tblPr>
      <w:tblGrid>
        <w:gridCol w:w="2977"/>
        <w:gridCol w:w="960"/>
        <w:gridCol w:w="852"/>
        <w:gridCol w:w="929"/>
        <w:gridCol w:w="929"/>
        <w:gridCol w:w="929"/>
        <w:gridCol w:w="927"/>
      </w:tblGrid>
      <w:tr w:rsidR="006D22E2" w:rsidRPr="006D22E2" w:rsidTr="005D1BA0">
        <w:trPr>
          <w:cantSplit/>
          <w:trHeight w:val="270"/>
        </w:trPr>
        <w:tc>
          <w:tcPr>
            <w:tcW w:w="1751" w:type="pct"/>
            <w:vMerge w:val="restart"/>
            <w:tcBorders>
              <w:top w:val="single" w:sz="1" w:space="0" w:color="000000"/>
              <w:lef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p>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SUPERFICIE  DE ESCURRIMIENTO</w:t>
            </w:r>
          </w:p>
        </w:tc>
        <w:tc>
          <w:tcPr>
            <w:tcW w:w="3249" w:type="pct"/>
            <w:gridSpan w:val="6"/>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COEFICIENTE DE ESCURRIMIENTO</w:t>
            </w:r>
          </w:p>
        </w:tc>
      </w:tr>
      <w:tr w:rsidR="006D22E2" w:rsidRPr="006D22E2" w:rsidTr="005D1BA0">
        <w:trPr>
          <w:cantSplit/>
          <w:trHeight w:val="270"/>
        </w:trPr>
        <w:tc>
          <w:tcPr>
            <w:tcW w:w="1751" w:type="pct"/>
            <w:vMerge/>
            <w:tcBorders>
              <w:lef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p>
        </w:tc>
        <w:tc>
          <w:tcPr>
            <w:tcW w:w="3249" w:type="pct"/>
            <w:gridSpan w:val="6"/>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Recurrencias (años)</w:t>
            </w:r>
          </w:p>
        </w:tc>
      </w:tr>
      <w:tr w:rsidR="006D22E2" w:rsidRPr="006D22E2" w:rsidTr="005D1BA0">
        <w:trPr>
          <w:cantSplit/>
        </w:trPr>
        <w:tc>
          <w:tcPr>
            <w:tcW w:w="1751" w:type="pct"/>
            <w:vMerge/>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p>
        </w:tc>
        <w:tc>
          <w:tcPr>
            <w:tcW w:w="565"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2</w:t>
            </w:r>
          </w:p>
        </w:tc>
        <w:tc>
          <w:tcPr>
            <w:tcW w:w="501"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5</w:t>
            </w:r>
          </w:p>
        </w:tc>
        <w:tc>
          <w:tcPr>
            <w:tcW w:w="546"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10</w:t>
            </w:r>
          </w:p>
        </w:tc>
        <w:tc>
          <w:tcPr>
            <w:tcW w:w="546"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25</w:t>
            </w:r>
          </w:p>
        </w:tc>
        <w:tc>
          <w:tcPr>
            <w:tcW w:w="546"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50</w:t>
            </w:r>
          </w:p>
        </w:tc>
        <w:tc>
          <w:tcPr>
            <w:tcW w:w="545"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100</w:t>
            </w:r>
          </w:p>
        </w:tc>
      </w:tr>
      <w:tr w:rsidR="006D22E2" w:rsidRPr="006D22E2" w:rsidTr="005D1BA0">
        <w:tc>
          <w:tcPr>
            <w:tcW w:w="1751" w:type="pct"/>
            <w:tcBorders>
              <w:top w:val="single" w:sz="1" w:space="0" w:color="000000"/>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Espejo de agua</w:t>
            </w:r>
          </w:p>
        </w:tc>
        <w:tc>
          <w:tcPr>
            <w:tcW w:w="565"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1,00</w:t>
            </w:r>
          </w:p>
        </w:tc>
        <w:tc>
          <w:tcPr>
            <w:tcW w:w="501"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1,00</w:t>
            </w:r>
          </w:p>
        </w:tc>
        <w:tc>
          <w:tcPr>
            <w:tcW w:w="546"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1,00</w:t>
            </w:r>
          </w:p>
        </w:tc>
        <w:tc>
          <w:tcPr>
            <w:tcW w:w="546"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1,00</w:t>
            </w:r>
          </w:p>
        </w:tc>
        <w:tc>
          <w:tcPr>
            <w:tcW w:w="546"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1,00</w:t>
            </w:r>
          </w:p>
        </w:tc>
        <w:tc>
          <w:tcPr>
            <w:tcW w:w="545" w:type="pct"/>
            <w:tcBorders>
              <w:top w:val="single" w:sz="1" w:space="0" w:color="000000"/>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1,00</w:t>
            </w:r>
          </w:p>
        </w:tc>
      </w:tr>
      <w:tr w:rsidR="006D22E2" w:rsidRPr="006D22E2" w:rsidTr="005D1BA0">
        <w:tc>
          <w:tcPr>
            <w:tcW w:w="1751" w:type="pct"/>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Superficies asfálticas</w:t>
            </w:r>
          </w:p>
        </w:tc>
        <w:tc>
          <w:tcPr>
            <w:tcW w:w="565"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0,73</w:t>
            </w:r>
          </w:p>
        </w:tc>
        <w:tc>
          <w:tcPr>
            <w:tcW w:w="501"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0,77</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0,81</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0,86</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0,90</w:t>
            </w:r>
          </w:p>
        </w:tc>
        <w:tc>
          <w:tcPr>
            <w:tcW w:w="545"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0,95</w:t>
            </w:r>
          </w:p>
        </w:tc>
      </w:tr>
      <w:tr w:rsidR="006D22E2" w:rsidRPr="006D22E2" w:rsidTr="005D1BA0">
        <w:tc>
          <w:tcPr>
            <w:tcW w:w="1751" w:type="pct"/>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proofErr w:type="spellStart"/>
            <w:r w:rsidRPr="006D22E2">
              <w:rPr>
                <w:rFonts w:eastAsia="Times New Roman"/>
                <w:lang w:val="es-ES" w:eastAsia="ar-SA"/>
              </w:rPr>
              <w:t>Hormigòn</w:t>
            </w:r>
            <w:proofErr w:type="spellEnd"/>
            <w:r w:rsidRPr="006D22E2">
              <w:rPr>
                <w:rFonts w:eastAsia="Times New Roman"/>
                <w:lang w:val="es-ES" w:eastAsia="ar-SA"/>
              </w:rPr>
              <w:t xml:space="preserve"> (techos y calles)</w:t>
            </w:r>
          </w:p>
        </w:tc>
        <w:tc>
          <w:tcPr>
            <w:tcW w:w="565"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0,75</w:t>
            </w:r>
          </w:p>
        </w:tc>
        <w:tc>
          <w:tcPr>
            <w:tcW w:w="501"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0,80</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0,83</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0,88</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0,92</w:t>
            </w:r>
          </w:p>
        </w:tc>
        <w:tc>
          <w:tcPr>
            <w:tcW w:w="545"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0,97</w:t>
            </w:r>
          </w:p>
        </w:tc>
      </w:tr>
      <w:tr w:rsidR="006D22E2" w:rsidRPr="006D22E2" w:rsidTr="005D1BA0">
        <w:tc>
          <w:tcPr>
            <w:tcW w:w="1751" w:type="pct"/>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Zonas verdes (*)</w:t>
            </w:r>
          </w:p>
        </w:tc>
        <w:tc>
          <w:tcPr>
            <w:tcW w:w="565"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0,21</w:t>
            </w:r>
          </w:p>
        </w:tc>
        <w:tc>
          <w:tcPr>
            <w:tcW w:w="501"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0,23</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0,25</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0,29</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0,32</w:t>
            </w:r>
          </w:p>
        </w:tc>
        <w:tc>
          <w:tcPr>
            <w:tcW w:w="545"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0,36</w:t>
            </w:r>
          </w:p>
        </w:tc>
      </w:tr>
      <w:tr w:rsidR="006D22E2" w:rsidRPr="006D22E2" w:rsidTr="005D1BA0">
        <w:tc>
          <w:tcPr>
            <w:tcW w:w="1751" w:type="pct"/>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Zona comercial</w:t>
            </w:r>
          </w:p>
        </w:tc>
        <w:tc>
          <w:tcPr>
            <w:tcW w:w="565"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0,95</w:t>
            </w:r>
          </w:p>
        </w:tc>
        <w:tc>
          <w:tcPr>
            <w:tcW w:w="501"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0,95</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0,95</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0,95</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0,95</w:t>
            </w:r>
          </w:p>
        </w:tc>
        <w:tc>
          <w:tcPr>
            <w:tcW w:w="545"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0,95</w:t>
            </w:r>
          </w:p>
        </w:tc>
      </w:tr>
      <w:tr w:rsidR="006D22E2" w:rsidRPr="006D22E2" w:rsidTr="005D1BA0">
        <w:tc>
          <w:tcPr>
            <w:tcW w:w="1751" w:type="pct"/>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Pavimento de Adoquines</w:t>
            </w:r>
          </w:p>
        </w:tc>
        <w:tc>
          <w:tcPr>
            <w:tcW w:w="565"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0,80</w:t>
            </w:r>
          </w:p>
        </w:tc>
        <w:tc>
          <w:tcPr>
            <w:tcW w:w="501"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0,82</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0,85</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0,88</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0,91</w:t>
            </w:r>
          </w:p>
        </w:tc>
        <w:tc>
          <w:tcPr>
            <w:tcW w:w="545"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0,95</w:t>
            </w:r>
          </w:p>
        </w:tc>
      </w:tr>
      <w:tr w:rsidR="006D22E2" w:rsidRPr="006D22E2" w:rsidTr="005D1BA0">
        <w:tc>
          <w:tcPr>
            <w:tcW w:w="1751" w:type="pct"/>
            <w:tcBorders>
              <w:left w:val="single" w:sz="1" w:space="0" w:color="000000"/>
              <w:bottom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Campos cultivados</w:t>
            </w:r>
          </w:p>
        </w:tc>
        <w:tc>
          <w:tcPr>
            <w:tcW w:w="565"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0,20</w:t>
            </w:r>
          </w:p>
        </w:tc>
        <w:tc>
          <w:tcPr>
            <w:tcW w:w="501"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0,23</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0,26</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0,30</w:t>
            </w:r>
          </w:p>
        </w:tc>
        <w:tc>
          <w:tcPr>
            <w:tcW w:w="546"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0,34</w:t>
            </w:r>
          </w:p>
        </w:tc>
        <w:tc>
          <w:tcPr>
            <w:tcW w:w="545" w:type="pct"/>
            <w:tcBorders>
              <w:left w:val="single" w:sz="1" w:space="0" w:color="000000"/>
              <w:bottom w:val="single" w:sz="1" w:space="0" w:color="000000"/>
              <w:right w:val="single" w:sz="1" w:space="0" w:color="000000"/>
            </w:tcBorders>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0,39</w:t>
            </w:r>
          </w:p>
        </w:tc>
      </w:tr>
    </w:tbl>
    <w:p w:rsidR="006D22E2" w:rsidRDefault="006D22E2" w:rsidP="006D22E2">
      <w:r w:rsidRPr="001B0474">
        <w:t>(*) Corresponde a cubiertas de</w:t>
      </w:r>
      <w:r>
        <w:t xml:space="preserve"> pasto en más del 75% del área </w:t>
      </w:r>
      <w:r w:rsidRPr="001B0474">
        <w:t>y pendientes menores del 2%.</w:t>
      </w:r>
    </w:p>
    <w:p w:rsidR="00EB2118" w:rsidRDefault="00EB2118" w:rsidP="00EB2118">
      <w:pPr>
        <w:pStyle w:val="Prrafodelista"/>
        <w:numPr>
          <w:ilvl w:val="3"/>
          <w:numId w:val="3"/>
        </w:numPr>
      </w:pPr>
      <w:r>
        <w:t>Intensidad de lluvia:</w:t>
      </w:r>
    </w:p>
    <w:p w:rsidR="00EB2118" w:rsidRDefault="00EB2118" w:rsidP="00EB2118">
      <w:r w:rsidRPr="00EB2118">
        <w:t xml:space="preserve">Correspondiente a las curvas </w:t>
      </w:r>
      <w:r>
        <w:t xml:space="preserve">(IDR) </w:t>
      </w:r>
      <w:r w:rsidRPr="00EB2118">
        <w:t>Intensidad-Duración-Recurrencia de la ciudad de Rosario, para la cual tenemos las siguientes variables:</w:t>
      </w:r>
    </w:p>
    <w:tbl>
      <w:tblPr>
        <w:tblStyle w:val="Tablaconcuadrcula"/>
        <w:tblW w:w="0" w:type="auto"/>
        <w:jc w:val="center"/>
        <w:tblLook w:val="04A0" w:firstRow="1" w:lastRow="0" w:firstColumn="1" w:lastColumn="0" w:noHBand="0" w:noVBand="1"/>
      </w:tblPr>
      <w:tblGrid>
        <w:gridCol w:w="1934"/>
        <w:gridCol w:w="1901"/>
        <w:gridCol w:w="1845"/>
        <w:gridCol w:w="1817"/>
      </w:tblGrid>
      <w:tr w:rsidR="00EB2118" w:rsidTr="00EB2118">
        <w:trPr>
          <w:jc w:val="center"/>
        </w:trPr>
        <w:tc>
          <w:tcPr>
            <w:tcW w:w="1934" w:type="dxa"/>
          </w:tcPr>
          <w:p w:rsidR="00EB2118" w:rsidRDefault="00EB2118" w:rsidP="00774521">
            <w:pPr>
              <w:ind w:firstLine="0"/>
              <w:jc w:val="center"/>
            </w:pPr>
            <w:r>
              <w:t>Recurrencia</w:t>
            </w:r>
          </w:p>
        </w:tc>
        <w:tc>
          <w:tcPr>
            <w:tcW w:w="1901" w:type="dxa"/>
          </w:tcPr>
          <w:p w:rsidR="00EB2118" w:rsidRDefault="00EB2118" w:rsidP="00774521">
            <w:pPr>
              <w:ind w:firstLine="0"/>
              <w:jc w:val="center"/>
            </w:pPr>
            <w:r>
              <w:t>A</w:t>
            </w:r>
          </w:p>
        </w:tc>
        <w:tc>
          <w:tcPr>
            <w:tcW w:w="1845" w:type="dxa"/>
          </w:tcPr>
          <w:p w:rsidR="00EB2118" w:rsidRDefault="00EB2118" w:rsidP="00774521">
            <w:pPr>
              <w:ind w:firstLine="0"/>
              <w:jc w:val="center"/>
            </w:pPr>
            <w:r>
              <w:t>B</w:t>
            </w:r>
          </w:p>
        </w:tc>
        <w:tc>
          <w:tcPr>
            <w:tcW w:w="1817" w:type="dxa"/>
          </w:tcPr>
          <w:p w:rsidR="00EB2118" w:rsidRDefault="00EB2118" w:rsidP="00774521">
            <w:pPr>
              <w:ind w:firstLine="0"/>
              <w:jc w:val="center"/>
            </w:pPr>
            <w:r>
              <w:t>C</w:t>
            </w:r>
          </w:p>
        </w:tc>
      </w:tr>
      <w:tr w:rsidR="00EB2118" w:rsidTr="00EB2118">
        <w:trPr>
          <w:jc w:val="center"/>
        </w:trPr>
        <w:tc>
          <w:tcPr>
            <w:tcW w:w="1934" w:type="dxa"/>
          </w:tcPr>
          <w:p w:rsidR="00EB2118" w:rsidRDefault="00EB2118" w:rsidP="00774521">
            <w:pPr>
              <w:ind w:firstLine="0"/>
              <w:jc w:val="center"/>
            </w:pPr>
            <w:r>
              <w:t>5 Años</w:t>
            </w:r>
          </w:p>
        </w:tc>
        <w:tc>
          <w:tcPr>
            <w:tcW w:w="1901" w:type="dxa"/>
          </w:tcPr>
          <w:p w:rsidR="00EB2118" w:rsidRDefault="00EB2118" w:rsidP="00774521">
            <w:pPr>
              <w:ind w:firstLine="0"/>
              <w:jc w:val="center"/>
            </w:pPr>
            <w:r>
              <w:t>1849,4000</w:t>
            </w:r>
          </w:p>
        </w:tc>
        <w:tc>
          <w:tcPr>
            <w:tcW w:w="1845" w:type="dxa"/>
          </w:tcPr>
          <w:p w:rsidR="00EB2118" w:rsidRDefault="00EB2118" w:rsidP="00774521">
            <w:pPr>
              <w:ind w:firstLine="0"/>
              <w:jc w:val="center"/>
            </w:pPr>
            <w:r>
              <w:t>17,2800</w:t>
            </w:r>
          </w:p>
        </w:tc>
        <w:tc>
          <w:tcPr>
            <w:tcW w:w="1817" w:type="dxa"/>
          </w:tcPr>
          <w:p w:rsidR="00EB2118" w:rsidRDefault="00EB2118" w:rsidP="00774521">
            <w:pPr>
              <w:ind w:firstLine="0"/>
              <w:jc w:val="center"/>
            </w:pPr>
            <w:r>
              <w:t>0,8079</w:t>
            </w:r>
          </w:p>
        </w:tc>
      </w:tr>
      <w:tr w:rsidR="00EB2118" w:rsidTr="00EB2118">
        <w:trPr>
          <w:jc w:val="center"/>
        </w:trPr>
        <w:tc>
          <w:tcPr>
            <w:tcW w:w="1934" w:type="dxa"/>
          </w:tcPr>
          <w:p w:rsidR="00EB2118" w:rsidRDefault="00EB2118" w:rsidP="00774521">
            <w:pPr>
              <w:ind w:firstLine="0"/>
              <w:jc w:val="center"/>
            </w:pPr>
            <w:r>
              <w:t>100 Años</w:t>
            </w:r>
          </w:p>
        </w:tc>
        <w:tc>
          <w:tcPr>
            <w:tcW w:w="1901" w:type="dxa"/>
          </w:tcPr>
          <w:p w:rsidR="00EB2118" w:rsidRDefault="00EB2118" w:rsidP="00774521">
            <w:pPr>
              <w:ind w:firstLine="0"/>
              <w:jc w:val="center"/>
            </w:pPr>
            <w:r>
              <w:t>2400,0000</w:t>
            </w:r>
          </w:p>
        </w:tc>
        <w:tc>
          <w:tcPr>
            <w:tcW w:w="1845" w:type="dxa"/>
          </w:tcPr>
          <w:p w:rsidR="00EB2118" w:rsidRDefault="00EB2118" w:rsidP="00774521">
            <w:pPr>
              <w:ind w:firstLine="0"/>
              <w:jc w:val="center"/>
            </w:pPr>
            <w:r>
              <w:t>15,0040</w:t>
            </w:r>
          </w:p>
        </w:tc>
        <w:tc>
          <w:tcPr>
            <w:tcW w:w="1817" w:type="dxa"/>
          </w:tcPr>
          <w:p w:rsidR="00EB2118" w:rsidRDefault="00EB2118" w:rsidP="00774521">
            <w:pPr>
              <w:ind w:firstLine="0"/>
              <w:jc w:val="center"/>
            </w:pPr>
            <w:r>
              <w:t>0,7767</w:t>
            </w:r>
          </w:p>
        </w:tc>
      </w:tr>
    </w:tbl>
    <w:p w:rsidR="00EB2118" w:rsidRPr="00EB2118" w:rsidRDefault="00EB2118" w:rsidP="00EB2118">
      <w:pPr>
        <w:ind w:firstLine="0"/>
        <w:rPr>
          <w:rFonts w:eastAsiaTheme="minorEastAsia"/>
        </w:rPr>
      </w:pPr>
      <m:oMathPara>
        <m:oMath>
          <m:r>
            <w:rPr>
              <w:rFonts w:ascii="Cambria Math" w:hAnsi="Cambria Math"/>
            </w:rPr>
            <m:t>I</m:t>
          </m:r>
          <m:d>
            <m:dPr>
              <m:begChr m:val="["/>
              <m:endChr m:val="]"/>
              <m:ctrlPr>
                <w:rPr>
                  <w:rFonts w:ascii="Cambria Math" w:hAnsi="Cambria Math"/>
                  <w:i/>
                </w:rPr>
              </m:ctrlPr>
            </m:dPr>
            <m:e>
              <m:f>
                <m:fPr>
                  <m:ctrlPr>
                    <w:rPr>
                      <w:rFonts w:ascii="Cambria Math" w:hAnsi="Cambria Math"/>
                      <w:i/>
                    </w:rPr>
                  </m:ctrlPr>
                </m:fPr>
                <m:num>
                  <m:r>
                    <w:rPr>
                      <w:rFonts w:ascii="Cambria Math" w:hAnsi="Cambria Math"/>
                    </w:rPr>
                    <m:t>mm</m:t>
                  </m:r>
                </m:num>
                <m:den>
                  <m:r>
                    <w:rPr>
                      <w:rFonts w:ascii="Cambria Math" w:hAnsi="Cambria Math"/>
                    </w:rPr>
                    <m:t>h</m:t>
                  </m:r>
                </m:den>
              </m:f>
            </m:e>
          </m:d>
          <m:r>
            <w:rPr>
              <w:rFonts w:ascii="Cambria Math" w:hAnsi="Cambria Math"/>
            </w:rPr>
            <m:t>=</m:t>
          </m:r>
          <m:f>
            <m:fPr>
              <m:ctrlPr>
                <w:rPr>
                  <w:rFonts w:ascii="Cambria Math" w:hAnsi="Cambria Math"/>
                  <w:i/>
                </w:rPr>
              </m:ctrlPr>
            </m:fPr>
            <m:num>
              <m:r>
                <w:rPr>
                  <w:rFonts w:ascii="Cambria Math" w:hAnsi="Cambria Math"/>
                </w:rPr>
                <m:t>A</m:t>
              </m:r>
            </m:num>
            <m:den>
              <m:sSup>
                <m:sSupPr>
                  <m:ctrlPr>
                    <w:rPr>
                      <w:rFonts w:ascii="Cambria Math" w:hAnsi="Cambria Math"/>
                      <w:i/>
                    </w:rPr>
                  </m:ctrlPr>
                </m:sSupPr>
                <m:e>
                  <m:d>
                    <m:dPr>
                      <m:ctrlPr>
                        <w:rPr>
                          <w:rFonts w:ascii="Cambria Math" w:hAnsi="Cambria Math"/>
                          <w:i/>
                        </w:rPr>
                      </m:ctrlPr>
                    </m:dPr>
                    <m:e>
                      <m:r>
                        <w:rPr>
                          <w:rFonts w:ascii="Cambria Math" w:hAnsi="Cambria Math"/>
                        </w:rPr>
                        <m:t>B+D</m:t>
                      </m:r>
                      <m:d>
                        <m:dPr>
                          <m:begChr m:val="["/>
                          <m:endChr m:val="]"/>
                          <m:ctrlPr>
                            <w:rPr>
                              <w:rFonts w:ascii="Cambria Math" w:hAnsi="Cambria Math"/>
                              <w:i/>
                            </w:rPr>
                          </m:ctrlPr>
                        </m:dPr>
                        <m:e>
                          <m:r>
                            <w:rPr>
                              <w:rFonts w:ascii="Cambria Math" w:hAnsi="Cambria Math"/>
                            </w:rPr>
                            <m:t>min</m:t>
                          </m:r>
                        </m:e>
                      </m:d>
                    </m:e>
                  </m:d>
                </m:e>
                <m:sup>
                  <m:r>
                    <w:rPr>
                      <w:rFonts w:ascii="Cambria Math" w:hAnsi="Cambria Math"/>
                    </w:rPr>
                    <m:t>C</m:t>
                  </m:r>
                </m:sup>
              </m:sSup>
            </m:den>
          </m:f>
        </m:oMath>
      </m:oMathPara>
    </w:p>
    <w:p w:rsidR="00EB2118" w:rsidRDefault="00EB2118" w:rsidP="002914ED">
      <w:r w:rsidRPr="00EB2118">
        <w:lastRenderedPageBreak/>
        <w:t xml:space="preserve">Se </w:t>
      </w:r>
      <w:r w:rsidR="002914ED" w:rsidRPr="00EB2118">
        <w:t>utilizarán</w:t>
      </w:r>
      <w:r w:rsidRPr="00EB2118">
        <w:t xml:space="preserve"> las recurrencias de diseño de 5 y 100 años para los terrenos ubicados en</w:t>
      </w:r>
      <w:r w:rsidR="002914ED">
        <w:t xml:space="preserve"> las</w:t>
      </w:r>
      <w:r w:rsidR="00220DF8">
        <w:t xml:space="preserve"> Zona 1 y 3</w:t>
      </w:r>
      <w:r w:rsidR="002914ED">
        <w:t>,</w:t>
      </w:r>
      <w:r w:rsidRPr="00EB2118">
        <w:t xml:space="preserve"> mientras que solo la recurrencia de diseño de 5 años para Zona 2</w:t>
      </w:r>
      <w:r w:rsidR="00220DF8">
        <w:t xml:space="preserve"> y 4</w:t>
      </w:r>
      <w:r w:rsidRPr="00EB2118">
        <w:t>.</w:t>
      </w:r>
    </w:p>
    <w:p w:rsidR="00EB2118" w:rsidRDefault="00EB2118" w:rsidP="00EB2118">
      <w:pPr>
        <w:pStyle w:val="Prrafodelista"/>
        <w:numPr>
          <w:ilvl w:val="3"/>
          <w:numId w:val="3"/>
        </w:numPr>
      </w:pPr>
      <w:r>
        <w:t>Caudal admisible a descargar:</w:t>
      </w:r>
    </w:p>
    <w:p w:rsidR="006D22E2" w:rsidRDefault="006D22E2" w:rsidP="006D22E2">
      <w:r>
        <w:t xml:space="preserve">Para el cálculo de la descarga, se recomienda utilizar los siguientes valores de referencia de coeficiente de </w:t>
      </w:r>
      <w:proofErr w:type="spellStart"/>
      <w:r>
        <w:t>Manning</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202"/>
        <w:gridCol w:w="3293"/>
      </w:tblGrid>
      <w:tr w:rsidR="006D22E2" w:rsidRPr="006D22E2" w:rsidTr="003F3776">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SUPERFICIE</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n(m/s1/3)</w:t>
            </w:r>
          </w:p>
        </w:tc>
      </w:tr>
      <w:tr w:rsidR="006D22E2" w:rsidRPr="006D22E2" w:rsidTr="003F3776">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Hormigón</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0,012-0015</w:t>
            </w:r>
          </w:p>
        </w:tc>
      </w:tr>
      <w:tr w:rsidR="006D22E2" w:rsidRPr="006D22E2" w:rsidTr="003F3776">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Asfalto</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0,013-0,016</w:t>
            </w:r>
          </w:p>
        </w:tc>
      </w:tr>
      <w:tr w:rsidR="006D22E2" w:rsidRPr="006D22E2" w:rsidTr="003F3776">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Conducto de Acero</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0,012-0,016</w:t>
            </w:r>
          </w:p>
        </w:tc>
      </w:tr>
      <w:tr w:rsidR="006D22E2" w:rsidRPr="006D22E2" w:rsidTr="003F3776">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Conducto de metal corrugado</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0,019-0,027</w:t>
            </w:r>
          </w:p>
        </w:tc>
      </w:tr>
      <w:tr w:rsidR="006D22E2" w:rsidRPr="006D22E2" w:rsidTr="003F3776">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Empedrado rugoso</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0,040</w:t>
            </w:r>
          </w:p>
        </w:tc>
      </w:tr>
      <w:tr w:rsidR="006D22E2" w:rsidRPr="006D22E2" w:rsidTr="003F3776">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Adoquinado</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0,020-0,025</w:t>
            </w:r>
          </w:p>
        </w:tc>
      </w:tr>
      <w:tr w:rsidR="006D22E2" w:rsidRPr="006D22E2" w:rsidTr="003F3776">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Canales excavados en tierra(limpios)</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0,030-0,035</w:t>
            </w:r>
          </w:p>
        </w:tc>
      </w:tr>
      <w:tr w:rsidR="006D22E2" w:rsidRPr="006D22E2" w:rsidTr="003F3776">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Superficies naturales y/o</w:t>
            </w:r>
          </w:p>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superficies con vegetación</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0,080-0,120</w:t>
            </w:r>
          </w:p>
        </w:tc>
      </w:tr>
      <w:tr w:rsidR="006D22E2" w:rsidRPr="006D22E2" w:rsidTr="003F3776">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Valle de inundación con pastos</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0,035</w:t>
            </w:r>
          </w:p>
        </w:tc>
      </w:tr>
      <w:tr w:rsidR="006D22E2" w:rsidRPr="006D22E2" w:rsidTr="003F3776">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Valle de inundación con cultivos</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0,040</w:t>
            </w:r>
          </w:p>
        </w:tc>
      </w:tr>
      <w:tr w:rsidR="006D22E2" w:rsidRPr="006D22E2" w:rsidTr="003F3776">
        <w:trPr>
          <w:trHeight w:val="51"/>
        </w:trPr>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Valle de inundación con matorrales</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0,050</w:t>
            </w:r>
          </w:p>
        </w:tc>
      </w:tr>
      <w:tr w:rsidR="006D22E2" w:rsidRPr="006D22E2" w:rsidTr="003F3776">
        <w:trPr>
          <w:trHeight w:val="51"/>
        </w:trPr>
        <w:tc>
          <w:tcPr>
            <w:tcW w:w="3062"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Valle de inundación con árboles</w:t>
            </w:r>
          </w:p>
        </w:tc>
        <w:tc>
          <w:tcPr>
            <w:tcW w:w="1938" w:type="pct"/>
            <w:vAlign w:val="center"/>
          </w:tcPr>
          <w:p w:rsidR="006D22E2" w:rsidRPr="006D22E2" w:rsidRDefault="006D22E2" w:rsidP="006D22E2">
            <w:pPr>
              <w:tabs>
                <w:tab w:val="left" w:pos="360"/>
              </w:tabs>
              <w:suppressAutoHyphens/>
              <w:spacing w:after="0" w:line="240" w:lineRule="auto"/>
              <w:ind w:firstLine="0"/>
              <w:jc w:val="center"/>
              <w:rPr>
                <w:rFonts w:eastAsia="Times New Roman"/>
                <w:lang w:val="es-ES" w:eastAsia="ar-SA"/>
              </w:rPr>
            </w:pPr>
            <w:r w:rsidRPr="006D22E2">
              <w:rPr>
                <w:rFonts w:eastAsia="Times New Roman"/>
                <w:lang w:val="es-ES" w:eastAsia="ar-SA"/>
              </w:rPr>
              <w:t>0,100</w:t>
            </w:r>
          </w:p>
        </w:tc>
      </w:tr>
    </w:tbl>
    <w:p w:rsidR="006D22E2" w:rsidRDefault="006D22E2" w:rsidP="006D22E2"/>
    <w:p w:rsidR="000E51BA" w:rsidRDefault="000E51BA" w:rsidP="000E51BA">
      <w:pPr>
        <w:pStyle w:val="Prrafodelista"/>
        <w:numPr>
          <w:ilvl w:val="4"/>
          <w:numId w:val="3"/>
        </w:numPr>
      </w:pPr>
      <w:r>
        <w:t>Caudal admisible en zona 1 y 3:</w:t>
      </w:r>
    </w:p>
    <w:p w:rsidR="000E51BA" w:rsidRDefault="000E51BA" w:rsidP="000E51BA">
      <w:r w:rsidRPr="000E51BA">
        <w:t xml:space="preserve">Se exige erogar el caudal que el terreno descargaba previo a tener cualquier tipo de impermeabilización, tanto a 5 como a 100 años </w:t>
      </w:r>
      <w:r w:rsidR="00BA5638">
        <w:t xml:space="preserve">de recurrencia </w:t>
      </w:r>
      <w:r w:rsidRPr="000E51BA">
        <w:t>(ambos).</w:t>
      </w:r>
    </w:p>
    <w:p w:rsidR="000E51BA" w:rsidRDefault="000E51BA" w:rsidP="000E51BA">
      <w:pPr>
        <w:pStyle w:val="Prrafodelista"/>
        <w:numPr>
          <w:ilvl w:val="4"/>
          <w:numId w:val="3"/>
        </w:numPr>
      </w:pPr>
      <w:r>
        <w:t>Caudal admisible en zona 2:</w:t>
      </w:r>
    </w:p>
    <w:p w:rsidR="001C1CFC" w:rsidRDefault="000E51BA" w:rsidP="001C1CFC">
      <w:r w:rsidRPr="000E51BA">
        <w:t>Se exige erogar la mitad del caudal generado posterior a la impermeabilización a 5 años</w:t>
      </w:r>
      <w:r w:rsidR="00BA5638">
        <w:t xml:space="preserve"> de recurrencia</w:t>
      </w:r>
      <w:r w:rsidRPr="000E51BA">
        <w:t>.</w:t>
      </w:r>
    </w:p>
    <w:p w:rsidR="001C1CFC" w:rsidRDefault="00220DF8" w:rsidP="001C1CFC">
      <w:pPr>
        <w:pStyle w:val="Prrafodelista"/>
        <w:numPr>
          <w:ilvl w:val="4"/>
          <w:numId w:val="3"/>
        </w:numPr>
      </w:pPr>
      <w:r>
        <w:t>Caudal admisible en zona 4</w:t>
      </w:r>
      <w:r w:rsidR="001C1CFC">
        <w:t>:</w:t>
      </w:r>
    </w:p>
    <w:p w:rsidR="001C1CFC" w:rsidRDefault="001C1CFC" w:rsidP="001C1CFC">
      <w:r>
        <w:t>Se exige erogar e</w:t>
      </w:r>
      <w:r w:rsidRPr="000E51BA">
        <w:t>l caudal que el terreno descargaba previo a tener cualquier tip</w:t>
      </w:r>
      <w:r>
        <w:t>o de impermeabilización, a</w:t>
      </w:r>
      <w:r w:rsidRPr="000E51BA">
        <w:t xml:space="preserve"> 5 años </w:t>
      </w:r>
      <w:r>
        <w:t>de recurrencia.</w:t>
      </w:r>
    </w:p>
    <w:p w:rsidR="00EB2118" w:rsidRDefault="00EB2118" w:rsidP="001C1CFC">
      <w:pPr>
        <w:pStyle w:val="Prrafodelista"/>
        <w:numPr>
          <w:ilvl w:val="3"/>
          <w:numId w:val="3"/>
        </w:numPr>
      </w:pPr>
      <w:r>
        <w:t>Volumen del reservorio:</w:t>
      </w:r>
    </w:p>
    <w:p w:rsidR="000E51BA" w:rsidRDefault="000E51BA" w:rsidP="000E51BA">
      <w:r w:rsidRPr="000E51BA">
        <w:t>Es el volumen</w:t>
      </w:r>
      <w:r w:rsidR="00AF47AD">
        <w:t xml:space="preserve"> a acumular, generado</w:t>
      </w:r>
      <w:r w:rsidRPr="000E51BA">
        <w:t xml:space="preserve"> por la dif</w:t>
      </w:r>
      <w:r w:rsidR="00AF47AD">
        <w:t>erencia entre el caudal de entrada y salida para</w:t>
      </w:r>
      <w:r w:rsidRPr="000E51BA">
        <w:t xml:space="preserve"> la duración más desfavorable. La lluvia que acumula el máximo volumen no es necesariamente la mi</w:t>
      </w:r>
      <w:r>
        <w:t xml:space="preserve">sma que genera el máximo caudal, por lo que deberá estudiarse el volumen para duraciones diferentes al tiempo de concentración de modo de encontrar un máximo volumen asociado a una duración determinada. </w:t>
      </w:r>
    </w:p>
    <w:p w:rsidR="000E51BA" w:rsidRDefault="008D5352" w:rsidP="001C1CFC">
      <w:pPr>
        <w:pStyle w:val="Prrafodelista"/>
        <w:numPr>
          <w:ilvl w:val="4"/>
          <w:numId w:val="3"/>
        </w:numPr>
      </w:pPr>
      <w:r>
        <w:lastRenderedPageBreak/>
        <w:t>Volumen para Zona 1</w:t>
      </w:r>
      <w:r w:rsidR="00220DF8">
        <w:t xml:space="preserve"> y 3</w:t>
      </w:r>
      <w:r>
        <w:t>:</w:t>
      </w:r>
    </w:p>
    <w:p w:rsidR="008D5352" w:rsidRDefault="008D5352" w:rsidP="008D5352">
      <w:r w:rsidRPr="008D5352">
        <w:t>Se deberá calcular el reservorio para que funcione almacenando el volumen de 5 y 100 años con sus respectivos caudales de descarga asociados.</w:t>
      </w:r>
    </w:p>
    <w:p w:rsidR="008D5352" w:rsidRDefault="008D5352" w:rsidP="001C1CFC">
      <w:pPr>
        <w:pStyle w:val="Prrafodelista"/>
        <w:numPr>
          <w:ilvl w:val="4"/>
          <w:numId w:val="3"/>
        </w:numPr>
      </w:pPr>
      <w:r>
        <w:t>Volumen para Zona 2</w:t>
      </w:r>
      <w:r w:rsidR="00AF47AD">
        <w:t xml:space="preserve"> y 4</w:t>
      </w:r>
      <w:r>
        <w:t>:</w:t>
      </w:r>
    </w:p>
    <w:p w:rsidR="008D5352" w:rsidRDefault="008D5352" w:rsidP="008D5352">
      <w:r w:rsidRPr="008D5352">
        <w:t>Se deberá calcular el reservorio para que funcione almacenando el volumen de 5 años con su respectivo caudal de descarga asociado.</w:t>
      </w:r>
    </w:p>
    <w:p w:rsidR="002D0C4A" w:rsidRDefault="002D0C4A" w:rsidP="00A76EE2">
      <w:pPr>
        <w:pStyle w:val="Prrafodelista"/>
        <w:numPr>
          <w:ilvl w:val="2"/>
          <w:numId w:val="3"/>
        </w:numPr>
      </w:pPr>
      <w:r>
        <w:t>Bombeo:</w:t>
      </w:r>
    </w:p>
    <w:p w:rsidR="002D0C4A" w:rsidRDefault="002D0C4A" w:rsidP="002D0C4A">
      <w:r>
        <w:t>Solo se permitirá la utilización de sistemas con bombeo si resulta</w:t>
      </w:r>
      <w:r w:rsidR="00BA5638">
        <w:t xml:space="preserve"> imposible </w:t>
      </w:r>
      <w:r>
        <w:t xml:space="preserve">ejecutar la descarga por gravedad. Deberá estar calculado por un profesional habilitado para estudios hidrológicos e hidráulicos. El sistema deberá contar con una cámara de regulación calculada y dimensionada para descargar el caudal deseado, a la cual le llegará el agua de la bomba antes de salir a la calle y tendrá un desborde con retorno al pozo de bombeo. El volumen a considerar como parte del reservorio será el que queda por encima del nivel de arranque de la bomba. El propietario será responsable del correcto funcionamiento del sistema. Se adjunta </w:t>
      </w:r>
      <w:r w:rsidR="00534FB3">
        <w:t>a seguir un croquis del sistema:</w:t>
      </w:r>
    </w:p>
    <w:p w:rsidR="00534FB3" w:rsidRDefault="00534FB3" w:rsidP="000C5C34">
      <w:pPr>
        <w:keepNext/>
        <w:ind w:firstLine="0"/>
      </w:pPr>
      <w:r>
        <w:rPr>
          <w:noProof/>
          <w:lang w:val="es-ES" w:eastAsia="es-ES"/>
        </w:rPr>
        <w:drawing>
          <wp:inline distT="0" distB="0" distL="0" distR="0" wp14:anchorId="44C4BAB3" wp14:editId="4A3B4336">
            <wp:extent cx="5400000" cy="2242802"/>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2242802"/>
                    </a:xfrm>
                    <a:prstGeom prst="rect">
                      <a:avLst/>
                    </a:prstGeom>
                    <a:noFill/>
                    <a:ln>
                      <a:noFill/>
                    </a:ln>
                  </pic:spPr>
                </pic:pic>
              </a:graphicData>
            </a:graphic>
          </wp:inline>
        </w:drawing>
      </w:r>
    </w:p>
    <w:p w:rsidR="00534FB3" w:rsidRDefault="00534FB3" w:rsidP="00534FB3">
      <w:pPr>
        <w:pStyle w:val="Descripcin"/>
        <w:jc w:val="center"/>
        <w:rPr>
          <w:b w:val="0"/>
          <w:i/>
          <w:color w:val="000000" w:themeColor="text1"/>
        </w:rPr>
      </w:pPr>
      <w:r w:rsidRPr="00534FB3">
        <w:rPr>
          <w:b w:val="0"/>
          <w:i/>
          <w:color w:val="000000" w:themeColor="text1"/>
        </w:rPr>
        <w:t xml:space="preserve">Imagen </w:t>
      </w:r>
      <w:r w:rsidRPr="00534FB3">
        <w:rPr>
          <w:b w:val="0"/>
          <w:i/>
          <w:color w:val="000000" w:themeColor="text1"/>
        </w:rPr>
        <w:fldChar w:fldCharType="begin"/>
      </w:r>
      <w:r w:rsidRPr="00534FB3">
        <w:rPr>
          <w:b w:val="0"/>
          <w:i/>
          <w:color w:val="000000" w:themeColor="text1"/>
        </w:rPr>
        <w:instrText xml:space="preserve"> SEQ Imagen \* ARABIC </w:instrText>
      </w:r>
      <w:r w:rsidRPr="00534FB3">
        <w:rPr>
          <w:b w:val="0"/>
          <w:i/>
          <w:color w:val="000000" w:themeColor="text1"/>
        </w:rPr>
        <w:fldChar w:fldCharType="separate"/>
      </w:r>
      <w:r w:rsidR="00DF6C72">
        <w:rPr>
          <w:b w:val="0"/>
          <w:i/>
          <w:noProof/>
          <w:color w:val="000000" w:themeColor="text1"/>
        </w:rPr>
        <w:t>2</w:t>
      </w:r>
      <w:r w:rsidRPr="00534FB3">
        <w:rPr>
          <w:b w:val="0"/>
          <w:i/>
          <w:color w:val="000000" w:themeColor="text1"/>
        </w:rPr>
        <w:fldChar w:fldCharType="end"/>
      </w:r>
      <w:r>
        <w:rPr>
          <w:b w:val="0"/>
          <w:i/>
          <w:color w:val="000000" w:themeColor="text1"/>
        </w:rPr>
        <w:t>: Esquema del sistema de</w:t>
      </w:r>
      <w:r w:rsidR="00F963CF">
        <w:rPr>
          <w:b w:val="0"/>
          <w:i/>
          <w:color w:val="000000" w:themeColor="text1"/>
        </w:rPr>
        <w:t xml:space="preserve"> b</w:t>
      </w:r>
      <w:r>
        <w:rPr>
          <w:b w:val="0"/>
          <w:i/>
          <w:color w:val="000000" w:themeColor="text1"/>
        </w:rPr>
        <w:t>ombeo.</w:t>
      </w:r>
    </w:p>
    <w:p w:rsidR="00220DF8" w:rsidRPr="00A76EE2" w:rsidRDefault="00220DF8" w:rsidP="00A76EE2"/>
    <w:p w:rsidR="0091566F" w:rsidRDefault="0091566F" w:rsidP="00A76EE2">
      <w:pPr>
        <w:pStyle w:val="Prrafodelista"/>
        <w:numPr>
          <w:ilvl w:val="0"/>
          <w:numId w:val="3"/>
        </w:numPr>
      </w:pPr>
      <w:r>
        <w:t>Ampliaciones:</w:t>
      </w:r>
    </w:p>
    <w:p w:rsidR="003F3776" w:rsidRDefault="00EB2442" w:rsidP="00A76EE2">
      <w:r>
        <w:t>Se considera como existente solo la superficie que tiene final de obra</w:t>
      </w:r>
      <w:r w:rsidR="00A76EE2">
        <w:t xml:space="preserve"> y será conservada</w:t>
      </w:r>
      <w:r>
        <w:t xml:space="preserve">, el resto (a edificar, a regularizar, sin final de obra, etc.) se toma como obra nueva. Si los desagües de lo existente son independientes de la obra nueva, podrá regular los desagües pluviales teniendo en cuenta solo la superficie de obra </w:t>
      </w:r>
      <w:r w:rsidRPr="00C85E89">
        <w:t>nueva. Pero si los desagües están unificados deberá regular por la totalidad de la superficie</w:t>
      </w:r>
      <w:r w:rsidR="001A7823">
        <w:t xml:space="preserve">, en caso que sea menor a 1000m2 mediante la planilla de cálculo. </w:t>
      </w:r>
      <w:r w:rsidRPr="00C85E89">
        <w:t xml:space="preserve">Para casos especiales </w:t>
      </w:r>
      <w:r w:rsidR="001A7823">
        <w:t xml:space="preserve">y mayores a 1000m2 </w:t>
      </w:r>
      <w:r w:rsidRPr="00C85E89">
        <w:t>se necesitará la intervención de un profesional habilitado para estu</w:t>
      </w:r>
      <w:r w:rsidR="001A7823">
        <w:t xml:space="preserve">dios hidrológicos e hidráulicos, en pos de compensar caudales. </w:t>
      </w:r>
    </w:p>
    <w:p w:rsidR="00D1035E" w:rsidRPr="00C85E89" w:rsidRDefault="00D1035E" w:rsidP="00A76EE2">
      <w:r>
        <w:lastRenderedPageBreak/>
        <w:t>Si bien el cálculo del volumen a almacenar se determina realizando una laminación de caudales, esta dirección de Proyectos de Hidráulica permite omitir la laminación, considerando una descarga constante igual al caudal admisible, pero al volumen determina</w:t>
      </w:r>
      <w:r w:rsidR="009F7A28">
        <w:t>do por este último método se debe aumentar un 30%</w:t>
      </w:r>
      <w:r>
        <w:t>.</w:t>
      </w:r>
    </w:p>
    <w:p w:rsidR="0091566F" w:rsidRDefault="0091566F" w:rsidP="00A76EE2">
      <w:pPr>
        <w:pStyle w:val="Prrafodelista"/>
        <w:numPr>
          <w:ilvl w:val="0"/>
          <w:numId w:val="3"/>
        </w:numPr>
      </w:pPr>
      <w:r>
        <w:t>Presentación:</w:t>
      </w:r>
    </w:p>
    <w:p w:rsidR="003710F6" w:rsidRDefault="003C636C" w:rsidP="003710F6">
      <w:r w:rsidRPr="003C636C">
        <w:t>El plano del proyecto deber</w:t>
      </w:r>
      <w:r w:rsidR="005B5B77">
        <w:t>á incluir planta baja, plantas tipo, planta de azotea y</w:t>
      </w:r>
      <w:r w:rsidRPr="003C636C">
        <w:t xml:space="preserve"> corte</w:t>
      </w:r>
      <w:r w:rsidR="005B5B77">
        <w:t xml:space="preserve"> con la ubicación de los reservorios, los conductos de bajada y de salida</w:t>
      </w:r>
      <w:r w:rsidRPr="003C636C">
        <w:t xml:space="preserve"> y todos los detalles que resulten necesarios para describir la obra a ejecutar. </w:t>
      </w:r>
    </w:p>
    <w:p w:rsidR="003C636C" w:rsidRDefault="003C636C" w:rsidP="003C636C">
      <w:r w:rsidRPr="003C636C">
        <w:t>En el plano se debe indicar:</w:t>
      </w:r>
    </w:p>
    <w:p w:rsidR="003C636C" w:rsidRDefault="003C636C" w:rsidP="00A76EE2">
      <w:pPr>
        <w:pStyle w:val="Prrafodelista"/>
        <w:numPr>
          <w:ilvl w:val="1"/>
          <w:numId w:val="3"/>
        </w:numPr>
      </w:pPr>
      <w:r>
        <w:t>Superficies:</w:t>
      </w:r>
      <w:r w:rsidR="0088434C">
        <w:t xml:space="preserve"> </w:t>
      </w:r>
    </w:p>
    <w:p w:rsidR="003C636C" w:rsidRDefault="003C636C" w:rsidP="003C636C">
      <w:r w:rsidRPr="003C636C">
        <w:t>Incluirá la superficie impermeable total y de cada sector como ser terrazas, patios, techos de cocheras, etc. Deberá quedar claramente indicado a que reservorio aporta cada superficie, visualizando claramente el recorrido del agua.</w:t>
      </w:r>
    </w:p>
    <w:p w:rsidR="001368BF" w:rsidRDefault="001368BF" w:rsidP="003C636C"/>
    <w:p w:rsidR="003C636C" w:rsidRDefault="003C636C" w:rsidP="00A76EE2">
      <w:pPr>
        <w:pStyle w:val="Prrafodelista"/>
        <w:numPr>
          <w:ilvl w:val="1"/>
          <w:numId w:val="3"/>
        </w:numPr>
      </w:pPr>
      <w:r>
        <w:t>Volumen y sección de descarga:</w:t>
      </w:r>
    </w:p>
    <w:p w:rsidR="003F3776" w:rsidRDefault="00FB4C7D" w:rsidP="003710F6">
      <w:r>
        <w:t>Asociado</w:t>
      </w:r>
      <w:r w:rsidR="003C636C">
        <w:t xml:space="preserve"> a cada uno de los reservorios.</w:t>
      </w:r>
    </w:p>
    <w:p w:rsidR="003C636C" w:rsidRDefault="00FB4C7D" w:rsidP="00A76EE2">
      <w:pPr>
        <w:pStyle w:val="Prrafodelista"/>
        <w:numPr>
          <w:ilvl w:val="1"/>
          <w:numId w:val="3"/>
        </w:numPr>
      </w:pPr>
      <w:r>
        <w:t>Niveles</w:t>
      </w:r>
      <w:r w:rsidR="003C636C">
        <w:t>:</w:t>
      </w:r>
    </w:p>
    <w:p w:rsidR="003C636C" w:rsidRDefault="00FB4C7D" w:rsidP="003C636C">
      <w:r>
        <w:t>Se debe indicar el nivel del piso del proyecto</w:t>
      </w:r>
      <w:r w:rsidR="003C636C">
        <w:t>, del fondo de reservorio</w:t>
      </w:r>
      <w:r>
        <w:t>, la cota de la descarga y del cuerpo receptor del desagüe</w:t>
      </w:r>
      <w:r w:rsidR="003C636C">
        <w:t>.</w:t>
      </w:r>
    </w:p>
    <w:p w:rsidR="003C636C" w:rsidRDefault="003C636C" w:rsidP="00A76EE2">
      <w:pPr>
        <w:pStyle w:val="Prrafodelista"/>
        <w:numPr>
          <w:ilvl w:val="1"/>
          <w:numId w:val="3"/>
        </w:numPr>
      </w:pPr>
      <w:r>
        <w:t>Rotulo:</w:t>
      </w:r>
    </w:p>
    <w:p w:rsidR="003C636C" w:rsidRDefault="003C636C" w:rsidP="003C636C">
      <w:r>
        <w:t xml:space="preserve">Se ajustará a los </w:t>
      </w:r>
      <w:r w:rsidRPr="009A3264">
        <w:t xml:space="preserve">lineamientos del </w:t>
      </w:r>
      <w:r w:rsidR="00A12B67" w:rsidRPr="009A3264">
        <w:t>anexo 1</w:t>
      </w:r>
      <w:r w:rsidRPr="009A3264">
        <w:t>.</w:t>
      </w:r>
    </w:p>
    <w:p w:rsidR="00B26E9F" w:rsidRDefault="00534FB3" w:rsidP="003710F6">
      <w:pPr>
        <w:pStyle w:val="Prrafodelista"/>
        <w:numPr>
          <w:ilvl w:val="0"/>
          <w:numId w:val="3"/>
        </w:numPr>
      </w:pPr>
      <w:r>
        <w:t>Recomendaciones para Proyecto</w:t>
      </w:r>
      <w:r w:rsidR="001676D4">
        <w:t>:</w:t>
      </w:r>
    </w:p>
    <w:p w:rsidR="001676D4" w:rsidRDefault="001676D4" w:rsidP="00A76EE2">
      <w:pPr>
        <w:pStyle w:val="Prrafodelista"/>
        <w:numPr>
          <w:ilvl w:val="1"/>
          <w:numId w:val="3"/>
        </w:numPr>
      </w:pPr>
      <w:r>
        <w:t>Resolución mediante sistema de tanques:</w:t>
      </w:r>
    </w:p>
    <w:p w:rsidR="00B26E9F" w:rsidRDefault="00B26E9F" w:rsidP="00FB4C7D">
      <w:r>
        <w:t xml:space="preserve">El </w:t>
      </w:r>
      <w:r w:rsidR="00D83066">
        <w:t xml:space="preserve">esquema siguiente </w:t>
      </w:r>
      <w:r w:rsidR="003F3776">
        <w:t>de la imagen 3</w:t>
      </w:r>
      <w:r w:rsidRPr="000A1B81">
        <w:t xml:space="preserve"> es adecuado tanto para reservorios que reciben aguas de origen pluvial de uso común, como exclusivo</w:t>
      </w:r>
      <w:r>
        <w:t>. Este sistema deberá estar por encima del nivel de vereda, cuidando que su descarga pueda alcanzar correctamente la cota de cordón cuneta o de zanja. En el caso</w:t>
      </w:r>
      <w:r w:rsidR="00FB4C7D">
        <w:t xml:space="preserve"> </w:t>
      </w:r>
      <w:r>
        <w:t xml:space="preserve">que contenga aguas de superficies de uso exclusivo, el mismo </w:t>
      </w:r>
      <w:r w:rsidR="00FB4C7D">
        <w:t>erogará sus caudales a la cámara de inspección con descarga a colectora cloacal, se recomienda que la descarga se encuentre sifonada. Ya que la colectora</w:t>
      </w:r>
      <w:r>
        <w:t xml:space="preserve"> se encuentra en promedio 0,80m </w:t>
      </w:r>
      <w:r w:rsidR="00FB4C7D">
        <w:t>por debajo de vereda,</w:t>
      </w:r>
      <w:r>
        <w:t xml:space="preserve"> el sistema podrá enterrarse o verse reemplazado por el propuesto en el ítem 6.2 a seguir. </w:t>
      </w:r>
      <w:r w:rsidR="00F9688B">
        <w:t xml:space="preserve">Es importante aclarar que deberá conocerse la cota de colectora cloacal previo al proyecto de reservorios, en caso que este último demande dicho dato para el proyecto. </w:t>
      </w:r>
    </w:p>
    <w:p w:rsidR="00F20B00" w:rsidRDefault="00F20B00" w:rsidP="00B26E9F">
      <w:r>
        <w:t>En el caso que sea necesario proyectar más de un tanque para lograr el volumen exigido el proyectista deberá unirlos mediante dos bypass, uno a</w:t>
      </w:r>
      <w:r w:rsidR="001C0B39">
        <w:t>l</w:t>
      </w:r>
      <w:r>
        <w:t xml:space="preserve"> fondo y otro a nivel de desborde</w:t>
      </w:r>
      <w:r w:rsidR="00F9688B" w:rsidRPr="000A1B81">
        <w:t>. En caso que se utilicen distintos tamaños de tanques,</w:t>
      </w:r>
      <w:r w:rsidR="004C3B91">
        <w:t xml:space="preserve"> se debe asegurar que coincida la parte superior de los tanques, elevando el más chico</w:t>
      </w:r>
      <w:r w:rsidR="00F9688B">
        <w:t xml:space="preserve">.  </w:t>
      </w:r>
    </w:p>
    <w:p w:rsidR="00F9688B" w:rsidRDefault="004C3B91" w:rsidP="00F9688B">
      <w:pPr>
        <w:keepNext/>
        <w:jc w:val="center"/>
      </w:pPr>
      <w:r>
        <w:rPr>
          <w:noProof/>
          <w:lang w:val="es-ES" w:eastAsia="es-ES"/>
        </w:rPr>
        <w:lastRenderedPageBreak/>
        <w:drawing>
          <wp:inline distT="0" distB="0" distL="0" distR="0">
            <wp:extent cx="4367283" cy="3065571"/>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7283" cy="3065571"/>
                    </a:xfrm>
                    <a:prstGeom prst="rect">
                      <a:avLst/>
                    </a:prstGeom>
                    <a:noFill/>
                    <a:ln>
                      <a:noFill/>
                    </a:ln>
                  </pic:spPr>
                </pic:pic>
              </a:graphicData>
            </a:graphic>
          </wp:inline>
        </w:drawing>
      </w:r>
    </w:p>
    <w:p w:rsidR="00B26E9F" w:rsidRPr="00F9688B" w:rsidRDefault="00F9688B" w:rsidP="00F9688B">
      <w:pPr>
        <w:pStyle w:val="Descripcin"/>
        <w:jc w:val="center"/>
        <w:rPr>
          <w:b w:val="0"/>
          <w:i/>
          <w:color w:val="000000" w:themeColor="text1"/>
        </w:rPr>
      </w:pPr>
      <w:r w:rsidRPr="00F9688B">
        <w:rPr>
          <w:b w:val="0"/>
          <w:i/>
          <w:color w:val="000000" w:themeColor="text1"/>
        </w:rPr>
        <w:t xml:space="preserve">Imagen </w:t>
      </w:r>
      <w:r w:rsidRPr="00F9688B">
        <w:rPr>
          <w:b w:val="0"/>
          <w:i/>
          <w:color w:val="000000" w:themeColor="text1"/>
        </w:rPr>
        <w:fldChar w:fldCharType="begin"/>
      </w:r>
      <w:r w:rsidRPr="00F9688B">
        <w:rPr>
          <w:b w:val="0"/>
          <w:i/>
          <w:color w:val="000000" w:themeColor="text1"/>
        </w:rPr>
        <w:instrText xml:space="preserve"> SEQ Imagen \* ARABIC </w:instrText>
      </w:r>
      <w:r w:rsidRPr="00F9688B">
        <w:rPr>
          <w:b w:val="0"/>
          <w:i/>
          <w:color w:val="000000" w:themeColor="text1"/>
        </w:rPr>
        <w:fldChar w:fldCharType="separate"/>
      </w:r>
      <w:r w:rsidR="00DF6C72">
        <w:rPr>
          <w:b w:val="0"/>
          <w:i/>
          <w:noProof/>
          <w:color w:val="000000" w:themeColor="text1"/>
        </w:rPr>
        <w:t>3</w:t>
      </w:r>
      <w:r w:rsidRPr="00F9688B">
        <w:rPr>
          <w:b w:val="0"/>
          <w:i/>
          <w:color w:val="000000" w:themeColor="text1"/>
        </w:rPr>
        <w:fldChar w:fldCharType="end"/>
      </w:r>
      <w:r>
        <w:rPr>
          <w:b w:val="0"/>
          <w:i/>
          <w:color w:val="000000" w:themeColor="text1"/>
        </w:rPr>
        <w:t>:</w:t>
      </w:r>
      <w:r w:rsidRPr="00F9688B">
        <w:rPr>
          <w:b w:val="0"/>
          <w:i/>
          <w:color w:val="000000" w:themeColor="text1"/>
        </w:rPr>
        <w:t xml:space="preserve"> </w:t>
      </w:r>
      <w:r w:rsidR="00F963CF">
        <w:rPr>
          <w:b w:val="0"/>
          <w:i/>
          <w:color w:val="000000" w:themeColor="text1"/>
        </w:rPr>
        <w:t>Esquema de r</w:t>
      </w:r>
      <w:r>
        <w:rPr>
          <w:b w:val="0"/>
          <w:i/>
          <w:color w:val="000000" w:themeColor="text1"/>
        </w:rPr>
        <w:t xml:space="preserve">esolución mediante </w:t>
      </w:r>
      <w:r w:rsidR="00F963CF">
        <w:rPr>
          <w:b w:val="0"/>
          <w:i/>
          <w:color w:val="000000" w:themeColor="text1"/>
        </w:rPr>
        <w:t>t</w:t>
      </w:r>
      <w:r>
        <w:rPr>
          <w:b w:val="0"/>
          <w:i/>
          <w:color w:val="000000" w:themeColor="text1"/>
        </w:rPr>
        <w:t xml:space="preserve">anque </w:t>
      </w:r>
      <w:r w:rsidR="00F963CF">
        <w:rPr>
          <w:b w:val="0"/>
          <w:i/>
          <w:color w:val="000000" w:themeColor="text1"/>
        </w:rPr>
        <w:t>p</w:t>
      </w:r>
      <w:r>
        <w:rPr>
          <w:b w:val="0"/>
          <w:i/>
          <w:color w:val="000000" w:themeColor="text1"/>
        </w:rPr>
        <w:t>lástico y</w:t>
      </w:r>
      <w:r w:rsidR="00F963CF">
        <w:rPr>
          <w:b w:val="0"/>
          <w:i/>
          <w:color w:val="000000" w:themeColor="text1"/>
        </w:rPr>
        <w:t xml:space="preserve"> c</w:t>
      </w:r>
      <w:r>
        <w:rPr>
          <w:b w:val="0"/>
          <w:i/>
          <w:color w:val="000000" w:themeColor="text1"/>
        </w:rPr>
        <w:t xml:space="preserve">ámara de </w:t>
      </w:r>
      <w:r w:rsidR="00F963CF">
        <w:rPr>
          <w:b w:val="0"/>
          <w:i/>
          <w:color w:val="000000" w:themeColor="text1"/>
        </w:rPr>
        <w:t>l</w:t>
      </w:r>
      <w:r>
        <w:rPr>
          <w:b w:val="0"/>
          <w:i/>
          <w:color w:val="000000" w:themeColor="text1"/>
        </w:rPr>
        <w:t xml:space="preserve">lenado </w:t>
      </w:r>
      <w:r w:rsidR="00F963CF">
        <w:rPr>
          <w:b w:val="0"/>
          <w:i/>
          <w:color w:val="000000" w:themeColor="text1"/>
        </w:rPr>
        <w:t>r</w:t>
      </w:r>
      <w:r>
        <w:rPr>
          <w:b w:val="0"/>
          <w:i/>
          <w:color w:val="000000" w:themeColor="text1"/>
        </w:rPr>
        <w:t>ápido.</w:t>
      </w:r>
    </w:p>
    <w:p w:rsidR="00851E75" w:rsidRDefault="001676D4" w:rsidP="00A76EE2">
      <w:pPr>
        <w:pStyle w:val="Prrafodelista"/>
        <w:numPr>
          <w:ilvl w:val="1"/>
          <w:numId w:val="3"/>
        </w:numPr>
      </w:pPr>
      <w:r>
        <w:t>Resolución mediante cámaras In-Situ:</w:t>
      </w:r>
    </w:p>
    <w:p w:rsidR="00851E75" w:rsidRDefault="00851E75" w:rsidP="00851E75">
      <w:pPr>
        <w:rPr>
          <w:rFonts w:eastAsiaTheme="minorEastAsia"/>
        </w:rPr>
      </w:pPr>
      <w:r>
        <w:t>El reservorio podrá solucionarse mediante esta forma</w:t>
      </w:r>
      <w:r w:rsidR="00882823">
        <w:t xml:space="preserve"> principalmente para casos de desagüe hacia la última cámara de inspección y colectora cloacal, es decir reservorios que reciban aguas servidas de superficies de uso exclusivo. A </w:t>
      </w:r>
      <w:r w:rsidR="00DD107B">
        <w:t>continuación,</w:t>
      </w:r>
      <w:r w:rsidR="00882823">
        <w:t xml:space="preserve"> se adjunta el esquema de proyecto del mismo, para el cual se deberá tener primeramente la cota de colectora cloacal más las pérdidas de altura del conducto de desagüe cloacal en el punto de emplazamiento del reservorio. Esta profundidad será</w:t>
      </w:r>
      <w:r w:rsidR="00DD107B">
        <w:t xml:space="preserve"> conocida como</w:t>
      </w:r>
      <w:r w:rsidR="00882823">
        <w:t xml:space="preserve"> “H”</w:t>
      </w:r>
      <w:r w:rsidR="00B64142">
        <w:t xml:space="preserve">, la cual será entendida desde el fondo del reservorio hasta el </w:t>
      </w:r>
      <w:proofErr w:type="spellStart"/>
      <w:r w:rsidR="00B64142">
        <w:t>intrauno</w:t>
      </w:r>
      <w:proofErr w:type="spellEnd"/>
      <w:r w:rsidR="00B64142">
        <w:t xml:space="preserve"> del conducto de llegada más bajo</w:t>
      </w:r>
      <w:r w:rsidR="00882823">
        <w:t>. Mediante la planilla deberá determinarse el vo</w:t>
      </w:r>
      <w:r w:rsidR="00DD107B">
        <w:t>lumen asociado a la superficie</w:t>
      </w:r>
      <w:r w:rsidR="00882823">
        <w:t xml:space="preserve">, siendo este último igual a </w:t>
      </w:r>
      <m:oMath>
        <m:r>
          <w:rPr>
            <w:rFonts w:ascii="Cambria Math" w:hAnsi="Cambria Math"/>
          </w:rPr>
          <m:t>V=H*A*B</m:t>
        </m:r>
        <m:r>
          <w:rPr>
            <w:rFonts w:ascii="Cambria Math" w:eastAsiaTheme="minorEastAsia" w:hAnsi="Cambria Math"/>
          </w:rPr>
          <m:t>,</m:t>
        </m:r>
      </m:oMath>
      <w:r w:rsidR="00882823">
        <w:rPr>
          <w:rFonts w:eastAsiaTheme="minorEastAsia"/>
        </w:rPr>
        <w:t xml:space="preserve"> siendo A y B las medidas en planta del mismo que deberán proponerse para lograr el volumen exigido. </w:t>
      </w:r>
    </w:p>
    <w:p w:rsidR="00B64142" w:rsidRPr="00B64142" w:rsidRDefault="00B64142" w:rsidP="00B64142">
      <w:pPr>
        <w:pStyle w:val="Descripcin"/>
        <w:jc w:val="center"/>
        <w:rPr>
          <w:b w:val="0"/>
          <w:i/>
          <w:color w:val="000000" w:themeColor="text1"/>
        </w:rPr>
      </w:pPr>
      <w:r w:rsidRPr="00B64142">
        <w:rPr>
          <w:b w:val="0"/>
          <w:i/>
          <w:noProof/>
          <w:color w:val="000000" w:themeColor="text1"/>
          <w:lang w:val="es-ES" w:eastAsia="es-ES"/>
        </w:rPr>
        <w:drawing>
          <wp:inline distT="0" distB="0" distL="0" distR="0" wp14:anchorId="4404F322" wp14:editId="0CF02856">
            <wp:extent cx="5400675" cy="1425636"/>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675" cy="1425636"/>
                    </a:xfrm>
                    <a:prstGeom prst="rect">
                      <a:avLst/>
                    </a:prstGeom>
                  </pic:spPr>
                </pic:pic>
              </a:graphicData>
            </a:graphic>
          </wp:inline>
        </w:drawing>
      </w:r>
    </w:p>
    <w:p w:rsidR="00B64142" w:rsidRPr="00B64142" w:rsidRDefault="00B64142" w:rsidP="00B64142">
      <w:pPr>
        <w:pStyle w:val="Descripcin"/>
        <w:jc w:val="center"/>
        <w:rPr>
          <w:b w:val="0"/>
          <w:i/>
          <w:color w:val="000000" w:themeColor="text1"/>
        </w:rPr>
      </w:pPr>
      <w:r w:rsidRPr="00B64142">
        <w:rPr>
          <w:b w:val="0"/>
          <w:i/>
          <w:color w:val="000000" w:themeColor="text1"/>
        </w:rPr>
        <w:t xml:space="preserve">Imagen </w:t>
      </w:r>
      <w:r w:rsidRPr="00B64142">
        <w:rPr>
          <w:b w:val="0"/>
          <w:i/>
          <w:color w:val="000000" w:themeColor="text1"/>
        </w:rPr>
        <w:fldChar w:fldCharType="begin"/>
      </w:r>
      <w:r w:rsidRPr="00B64142">
        <w:rPr>
          <w:b w:val="0"/>
          <w:i/>
          <w:color w:val="000000" w:themeColor="text1"/>
        </w:rPr>
        <w:instrText xml:space="preserve"> SEQ Imagen \* ARABIC </w:instrText>
      </w:r>
      <w:r w:rsidRPr="00B64142">
        <w:rPr>
          <w:b w:val="0"/>
          <w:i/>
          <w:color w:val="000000" w:themeColor="text1"/>
        </w:rPr>
        <w:fldChar w:fldCharType="separate"/>
      </w:r>
      <w:r w:rsidR="00DF6C72">
        <w:rPr>
          <w:b w:val="0"/>
          <w:i/>
          <w:noProof/>
          <w:color w:val="000000" w:themeColor="text1"/>
        </w:rPr>
        <w:t>4</w:t>
      </w:r>
      <w:r w:rsidRPr="00B64142">
        <w:rPr>
          <w:b w:val="0"/>
          <w:i/>
          <w:color w:val="000000" w:themeColor="text1"/>
        </w:rPr>
        <w:fldChar w:fldCharType="end"/>
      </w:r>
      <w:r w:rsidR="00D1035E">
        <w:rPr>
          <w:b w:val="0"/>
          <w:i/>
          <w:color w:val="000000" w:themeColor="text1"/>
        </w:rPr>
        <w:t>: Corte en Planta Baja de Torre</w:t>
      </w:r>
      <w:r>
        <w:rPr>
          <w:b w:val="0"/>
          <w:i/>
          <w:color w:val="000000" w:themeColor="text1"/>
        </w:rPr>
        <w:t>.</w:t>
      </w:r>
    </w:p>
    <w:p w:rsidR="00B64142" w:rsidRPr="00B64142" w:rsidRDefault="00B64142" w:rsidP="00B64142">
      <w:pPr>
        <w:pStyle w:val="Descripcin"/>
        <w:jc w:val="center"/>
        <w:rPr>
          <w:b w:val="0"/>
          <w:i/>
          <w:color w:val="000000" w:themeColor="text1"/>
        </w:rPr>
      </w:pPr>
    </w:p>
    <w:p w:rsidR="003C0FBF" w:rsidRDefault="004C3B91" w:rsidP="003C0FBF">
      <w:pPr>
        <w:ind w:firstLine="0"/>
        <w:jc w:val="center"/>
      </w:pPr>
      <w:r>
        <w:rPr>
          <w:noProof/>
          <w:lang w:val="es-ES" w:eastAsia="es-ES"/>
        </w:rPr>
        <w:lastRenderedPageBreak/>
        <w:drawing>
          <wp:inline distT="0" distB="0" distL="0" distR="0">
            <wp:extent cx="5400000" cy="4057200"/>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1160"/>
                    <a:stretch/>
                  </pic:blipFill>
                  <pic:spPr bwMode="auto">
                    <a:xfrm>
                      <a:off x="0" y="0"/>
                      <a:ext cx="5400000" cy="40572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ES" w:eastAsia="es-ES"/>
        </w:rPr>
        <w:drawing>
          <wp:inline distT="0" distB="0" distL="0" distR="0">
            <wp:extent cx="5400000" cy="1591200"/>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b="8309"/>
                    <a:stretch/>
                  </pic:blipFill>
                  <pic:spPr bwMode="auto">
                    <a:xfrm>
                      <a:off x="0" y="0"/>
                      <a:ext cx="5400000" cy="1591200"/>
                    </a:xfrm>
                    <a:prstGeom prst="rect">
                      <a:avLst/>
                    </a:prstGeom>
                    <a:noFill/>
                    <a:ln>
                      <a:noFill/>
                    </a:ln>
                    <a:extLst>
                      <a:ext uri="{53640926-AAD7-44D8-BBD7-CCE9431645EC}">
                        <a14:shadowObscured xmlns:a14="http://schemas.microsoft.com/office/drawing/2010/main"/>
                      </a:ext>
                    </a:extLst>
                  </pic:spPr>
                </pic:pic>
              </a:graphicData>
            </a:graphic>
          </wp:inline>
        </w:drawing>
      </w:r>
    </w:p>
    <w:p w:rsidR="00B64142" w:rsidRDefault="004C3B91" w:rsidP="003C0FBF">
      <w:pPr>
        <w:keepNext/>
        <w:ind w:firstLine="0"/>
        <w:jc w:val="center"/>
      </w:pPr>
      <w:r>
        <w:rPr>
          <w:noProof/>
          <w:lang w:val="es-ES" w:eastAsia="es-ES"/>
        </w:rPr>
        <w:drawing>
          <wp:inline distT="0" distB="0" distL="0" distR="0">
            <wp:extent cx="5399405" cy="17335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b="6848"/>
                    <a:stretch/>
                  </pic:blipFill>
                  <pic:spPr bwMode="auto">
                    <a:xfrm>
                      <a:off x="0" y="0"/>
                      <a:ext cx="5400000" cy="1733741"/>
                    </a:xfrm>
                    <a:prstGeom prst="rect">
                      <a:avLst/>
                    </a:prstGeom>
                    <a:noFill/>
                    <a:ln>
                      <a:noFill/>
                    </a:ln>
                    <a:extLst>
                      <a:ext uri="{53640926-AAD7-44D8-BBD7-CCE9431645EC}">
                        <a14:shadowObscured xmlns:a14="http://schemas.microsoft.com/office/drawing/2010/main"/>
                      </a:ext>
                    </a:extLst>
                  </pic:spPr>
                </pic:pic>
              </a:graphicData>
            </a:graphic>
          </wp:inline>
        </w:drawing>
      </w:r>
    </w:p>
    <w:p w:rsidR="004C3B91" w:rsidRDefault="00B64142" w:rsidP="003C0FBF">
      <w:pPr>
        <w:pStyle w:val="Descripcin"/>
        <w:jc w:val="center"/>
        <w:rPr>
          <w:b w:val="0"/>
          <w:i/>
          <w:color w:val="000000" w:themeColor="text1"/>
        </w:rPr>
      </w:pPr>
      <w:r w:rsidRPr="00B64142">
        <w:rPr>
          <w:b w:val="0"/>
          <w:i/>
          <w:color w:val="000000" w:themeColor="text1"/>
        </w:rPr>
        <w:t xml:space="preserve">Imagen </w:t>
      </w:r>
      <w:r w:rsidRPr="00B64142">
        <w:rPr>
          <w:b w:val="0"/>
          <w:i/>
          <w:color w:val="000000" w:themeColor="text1"/>
        </w:rPr>
        <w:fldChar w:fldCharType="begin"/>
      </w:r>
      <w:r w:rsidRPr="00B64142">
        <w:rPr>
          <w:b w:val="0"/>
          <w:i/>
          <w:color w:val="000000" w:themeColor="text1"/>
        </w:rPr>
        <w:instrText xml:space="preserve"> SEQ Imagen \* ARABIC </w:instrText>
      </w:r>
      <w:r w:rsidRPr="00B64142">
        <w:rPr>
          <w:b w:val="0"/>
          <w:i/>
          <w:color w:val="000000" w:themeColor="text1"/>
        </w:rPr>
        <w:fldChar w:fldCharType="separate"/>
      </w:r>
      <w:r w:rsidR="00DF6C72">
        <w:rPr>
          <w:b w:val="0"/>
          <w:i/>
          <w:noProof/>
          <w:color w:val="000000" w:themeColor="text1"/>
        </w:rPr>
        <w:t>5</w:t>
      </w:r>
      <w:r w:rsidRPr="00B64142">
        <w:rPr>
          <w:b w:val="0"/>
          <w:i/>
          <w:color w:val="000000" w:themeColor="text1"/>
        </w:rPr>
        <w:fldChar w:fldCharType="end"/>
      </w:r>
      <w:r>
        <w:rPr>
          <w:b w:val="0"/>
          <w:i/>
          <w:color w:val="000000" w:themeColor="text1"/>
        </w:rPr>
        <w:t xml:space="preserve">: Esquema de </w:t>
      </w:r>
      <w:r w:rsidR="00F963CF">
        <w:rPr>
          <w:b w:val="0"/>
          <w:i/>
          <w:color w:val="000000" w:themeColor="text1"/>
        </w:rPr>
        <w:t>r</w:t>
      </w:r>
      <w:r>
        <w:rPr>
          <w:b w:val="0"/>
          <w:i/>
          <w:color w:val="000000" w:themeColor="text1"/>
        </w:rPr>
        <w:t xml:space="preserve">esolución del </w:t>
      </w:r>
      <w:r w:rsidR="00F963CF">
        <w:rPr>
          <w:b w:val="0"/>
          <w:i/>
          <w:color w:val="000000" w:themeColor="text1"/>
        </w:rPr>
        <w:t>r</w:t>
      </w:r>
      <w:r>
        <w:rPr>
          <w:b w:val="0"/>
          <w:i/>
          <w:color w:val="000000" w:themeColor="text1"/>
        </w:rPr>
        <w:t>eservorio</w:t>
      </w:r>
      <w:r w:rsidR="00F963CF">
        <w:rPr>
          <w:b w:val="0"/>
          <w:i/>
          <w:color w:val="000000" w:themeColor="text1"/>
        </w:rPr>
        <w:t xml:space="preserve"> mediante tanque In-Situ.</w:t>
      </w:r>
    </w:p>
    <w:p w:rsidR="00D1035E" w:rsidRDefault="00D1035E" w:rsidP="00D1035E"/>
    <w:p w:rsidR="00D1035E" w:rsidRPr="00D1035E" w:rsidRDefault="00D1035E" w:rsidP="00D1035E"/>
    <w:p w:rsidR="001676D4" w:rsidRDefault="00DE467F" w:rsidP="00A76EE2">
      <w:pPr>
        <w:pStyle w:val="Prrafodelista"/>
        <w:numPr>
          <w:ilvl w:val="1"/>
          <w:numId w:val="3"/>
        </w:numPr>
      </w:pPr>
      <w:r>
        <w:lastRenderedPageBreak/>
        <w:t>Sistema combinado</w:t>
      </w:r>
      <w:r w:rsidR="00273480">
        <w:t>,</w:t>
      </w:r>
      <w:r>
        <w:t xml:space="preserve"> </w:t>
      </w:r>
      <w:r w:rsidR="00273480">
        <w:t>superficie de uso común más</w:t>
      </w:r>
      <w:r>
        <w:t xml:space="preserve"> exclusivo</w:t>
      </w:r>
      <w:r w:rsidR="001676D4">
        <w:t xml:space="preserve">: </w:t>
      </w:r>
    </w:p>
    <w:p w:rsidR="002E6ED9" w:rsidRDefault="00B261A1" w:rsidP="002E6ED9">
      <w:r>
        <w:t xml:space="preserve">Dentro de las posibilidades de resolución, pueden combinarse en un único tanque, ambos sistemas. Para lograr dicho cometido habrá que seguir el siguiente esquema, en el cual se proyecta la menor reducción (0,040m de diámetro) para la descarga pluvial proveniente de la superficie de uso exclusivo, mientras que la reducción para la descarga pluvial proveniente de la superficie de uso común se deberá calcular como la suma total de las áreas de uso común y exclusivo menos 100m2. Por su parte el volumen del tanque será correspondido a la suma total de las áreas de uso exclusivo y de uso común. </w:t>
      </w:r>
    </w:p>
    <w:p w:rsidR="002E6ED9" w:rsidRDefault="0083554A" w:rsidP="002E6ED9">
      <w:pPr>
        <w:keepNext/>
        <w:ind w:firstLine="0"/>
      </w:pPr>
      <w:r>
        <w:rPr>
          <w:noProof/>
          <w:lang w:val="es-ES" w:eastAsia="es-ES"/>
        </w:rPr>
        <w:drawing>
          <wp:inline distT="0" distB="0" distL="0" distR="0">
            <wp:extent cx="5391150" cy="28575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857500"/>
                    </a:xfrm>
                    <a:prstGeom prst="rect">
                      <a:avLst/>
                    </a:prstGeom>
                    <a:noFill/>
                    <a:ln>
                      <a:noFill/>
                    </a:ln>
                  </pic:spPr>
                </pic:pic>
              </a:graphicData>
            </a:graphic>
          </wp:inline>
        </w:drawing>
      </w:r>
    </w:p>
    <w:p w:rsidR="0016365B" w:rsidRDefault="002E6ED9" w:rsidP="0094453D">
      <w:pPr>
        <w:pStyle w:val="Descripcin"/>
        <w:jc w:val="center"/>
        <w:rPr>
          <w:b w:val="0"/>
          <w:i/>
          <w:color w:val="000000" w:themeColor="text1"/>
        </w:rPr>
      </w:pPr>
      <w:r w:rsidRPr="002E6ED9">
        <w:rPr>
          <w:b w:val="0"/>
          <w:i/>
          <w:color w:val="000000" w:themeColor="text1"/>
        </w:rPr>
        <w:t xml:space="preserve">Imagen </w:t>
      </w:r>
      <w:r w:rsidRPr="002E6ED9">
        <w:rPr>
          <w:b w:val="0"/>
          <w:i/>
          <w:color w:val="000000" w:themeColor="text1"/>
        </w:rPr>
        <w:fldChar w:fldCharType="begin"/>
      </w:r>
      <w:r w:rsidRPr="002E6ED9">
        <w:rPr>
          <w:b w:val="0"/>
          <w:i/>
          <w:color w:val="000000" w:themeColor="text1"/>
        </w:rPr>
        <w:instrText xml:space="preserve"> SEQ Imagen \* ARABIC </w:instrText>
      </w:r>
      <w:r w:rsidRPr="002E6ED9">
        <w:rPr>
          <w:b w:val="0"/>
          <w:i/>
          <w:color w:val="000000" w:themeColor="text1"/>
        </w:rPr>
        <w:fldChar w:fldCharType="separate"/>
      </w:r>
      <w:r w:rsidR="00DF6C72">
        <w:rPr>
          <w:b w:val="0"/>
          <w:i/>
          <w:noProof/>
          <w:color w:val="000000" w:themeColor="text1"/>
        </w:rPr>
        <w:t>6</w:t>
      </w:r>
      <w:r w:rsidRPr="002E6ED9">
        <w:rPr>
          <w:b w:val="0"/>
          <w:i/>
          <w:color w:val="000000" w:themeColor="text1"/>
        </w:rPr>
        <w:fldChar w:fldCharType="end"/>
      </w:r>
      <w:r>
        <w:rPr>
          <w:b w:val="0"/>
          <w:i/>
          <w:color w:val="000000" w:themeColor="text1"/>
        </w:rPr>
        <w:t xml:space="preserve">: Sistema de </w:t>
      </w:r>
      <w:r w:rsidR="00F963CF">
        <w:rPr>
          <w:b w:val="0"/>
          <w:i/>
          <w:color w:val="000000" w:themeColor="text1"/>
        </w:rPr>
        <w:t>r</w:t>
      </w:r>
      <w:r>
        <w:rPr>
          <w:b w:val="0"/>
          <w:i/>
          <w:color w:val="000000" w:themeColor="text1"/>
        </w:rPr>
        <w:t>eservorio</w:t>
      </w:r>
      <w:r w:rsidR="00F963CF">
        <w:rPr>
          <w:b w:val="0"/>
          <w:i/>
          <w:color w:val="000000" w:themeColor="text1"/>
        </w:rPr>
        <w:t xml:space="preserve"> c</w:t>
      </w:r>
      <w:r>
        <w:rPr>
          <w:b w:val="0"/>
          <w:i/>
          <w:color w:val="000000" w:themeColor="text1"/>
        </w:rPr>
        <w:t xml:space="preserve">ombinado para </w:t>
      </w:r>
      <w:r w:rsidR="00F963CF">
        <w:rPr>
          <w:b w:val="0"/>
          <w:i/>
          <w:color w:val="000000" w:themeColor="text1"/>
        </w:rPr>
        <w:t>s</w:t>
      </w:r>
      <w:r>
        <w:rPr>
          <w:b w:val="0"/>
          <w:i/>
          <w:color w:val="000000" w:themeColor="text1"/>
        </w:rPr>
        <w:t xml:space="preserve">uperficies </w:t>
      </w:r>
      <w:r w:rsidR="00F963CF">
        <w:rPr>
          <w:b w:val="0"/>
          <w:i/>
          <w:color w:val="000000" w:themeColor="text1"/>
        </w:rPr>
        <w:t xml:space="preserve">impermeables </w:t>
      </w:r>
      <w:r>
        <w:rPr>
          <w:b w:val="0"/>
          <w:i/>
          <w:color w:val="000000" w:themeColor="text1"/>
        </w:rPr>
        <w:t>menores a 1000m2.</w:t>
      </w:r>
    </w:p>
    <w:p w:rsidR="00DD107B" w:rsidRDefault="00DD107B" w:rsidP="00DD107B"/>
    <w:p w:rsidR="00DD107B" w:rsidRDefault="00DD107B" w:rsidP="00DD107B"/>
    <w:p w:rsidR="00065A2F" w:rsidRDefault="00065A2F" w:rsidP="00630AA7">
      <w:pPr>
        <w:ind w:firstLine="0"/>
      </w:pPr>
    </w:p>
    <w:sectPr w:rsidR="00065A2F" w:rsidSect="003575A5">
      <w:headerReference w:type="even" r:id="rId16"/>
      <w:headerReference w:type="default" r:id="rId17"/>
      <w:footerReference w:type="even" r:id="rId18"/>
      <w:footerReference w:type="default" r:id="rId19"/>
      <w:headerReference w:type="first" r:id="rId20"/>
      <w:footerReference w:type="first" r:id="rId21"/>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77" w:rsidRDefault="00161977" w:rsidP="0091566F">
      <w:r>
        <w:separator/>
      </w:r>
    </w:p>
  </w:endnote>
  <w:endnote w:type="continuationSeparator" w:id="0">
    <w:p w:rsidR="00161977" w:rsidRDefault="00161977" w:rsidP="0091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AE" w:rsidRDefault="00C340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3575A5" w:rsidTr="003575A5">
      <w:tc>
        <w:tcPr>
          <w:tcW w:w="8645" w:type="dxa"/>
        </w:tcPr>
        <w:p w:rsidR="003575A5" w:rsidRDefault="003575A5" w:rsidP="00C340AE">
          <w:pPr>
            <w:pStyle w:val="Piedepgina"/>
            <w:ind w:firstLine="0"/>
            <w:jc w:val="center"/>
          </w:pPr>
          <w:r w:rsidRPr="003575A5">
            <w:t>Dirección de Proyectos de Hidráulic</w:t>
          </w:r>
          <w:r w:rsidR="00C340AE">
            <w:t>a - Edificio Aduana</w:t>
          </w:r>
        </w:p>
      </w:tc>
    </w:tr>
    <w:tr w:rsidR="003575A5" w:rsidRPr="00393EA2" w:rsidTr="003575A5">
      <w:tc>
        <w:tcPr>
          <w:tcW w:w="8645" w:type="dxa"/>
        </w:tcPr>
        <w:p w:rsidR="003575A5" w:rsidRPr="00D1035E" w:rsidRDefault="003575A5" w:rsidP="00D1035E">
          <w:pPr>
            <w:pStyle w:val="Piedepgina"/>
            <w:ind w:firstLine="0"/>
            <w:jc w:val="right"/>
          </w:pPr>
        </w:p>
      </w:tc>
    </w:tr>
    <w:tr w:rsidR="003575A5" w:rsidTr="003575A5">
      <w:tc>
        <w:tcPr>
          <w:tcW w:w="8645" w:type="dxa"/>
        </w:tcPr>
        <w:p w:rsidR="003575A5" w:rsidRDefault="003575A5" w:rsidP="00170D77">
          <w:pPr>
            <w:pStyle w:val="Piedepgina"/>
            <w:ind w:firstLine="0"/>
            <w:jc w:val="right"/>
          </w:pPr>
        </w:p>
      </w:tc>
    </w:tr>
    <w:tr w:rsidR="007C6773" w:rsidTr="003575A5">
      <w:tc>
        <w:tcPr>
          <w:tcW w:w="8645" w:type="dxa"/>
        </w:tcPr>
        <w:sdt>
          <w:sdtPr>
            <w:id w:val="-59559095"/>
            <w:docPartObj>
              <w:docPartGallery w:val="Page Numbers (Bottom of Page)"/>
              <w:docPartUnique/>
            </w:docPartObj>
          </w:sdtPr>
          <w:sdtEndPr/>
          <w:sdtContent>
            <w:p w:rsidR="007C6773" w:rsidRDefault="007C6773" w:rsidP="007C6773">
              <w:pPr>
                <w:pStyle w:val="Piedepgina"/>
                <w:jc w:val="right"/>
              </w:pPr>
              <w:r>
                <w:t xml:space="preserve">Página </w:t>
              </w:r>
              <w:r>
                <w:fldChar w:fldCharType="begin"/>
              </w:r>
              <w:r>
                <w:instrText>PAGE   \* MERGEFORMAT</w:instrText>
              </w:r>
              <w:r>
                <w:fldChar w:fldCharType="separate"/>
              </w:r>
              <w:r w:rsidR="00C340AE" w:rsidRPr="00C340AE">
                <w:rPr>
                  <w:noProof/>
                  <w:lang w:val="es-ES"/>
                </w:rPr>
                <w:t>1</w:t>
              </w:r>
              <w:r>
                <w:fldChar w:fldCharType="end"/>
              </w:r>
            </w:p>
          </w:sdtContent>
        </w:sdt>
      </w:tc>
    </w:tr>
  </w:tbl>
  <w:p w:rsidR="003575A5" w:rsidRDefault="003575A5" w:rsidP="0091566F">
    <w:pPr>
      <w:pStyle w:val="Piedepgina"/>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AE" w:rsidRDefault="00C340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77" w:rsidRDefault="00161977" w:rsidP="0091566F">
      <w:r>
        <w:separator/>
      </w:r>
    </w:p>
  </w:footnote>
  <w:footnote w:type="continuationSeparator" w:id="0">
    <w:p w:rsidR="00161977" w:rsidRDefault="00161977" w:rsidP="00915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AE" w:rsidRDefault="00C340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8505"/>
    </w:tblGrid>
    <w:tr w:rsidR="003575A5" w:rsidTr="007D694D">
      <w:trPr>
        <w:trHeight w:val="291"/>
      </w:trPr>
      <w:tc>
        <w:tcPr>
          <w:tcW w:w="8645" w:type="dxa"/>
          <w:tcBorders>
            <w:top w:val="nil"/>
            <w:left w:val="nil"/>
            <w:bottom w:val="single" w:sz="4" w:space="0" w:color="auto"/>
            <w:right w:val="nil"/>
          </w:tcBorders>
        </w:tcPr>
        <w:p w:rsidR="003575A5" w:rsidRPr="003575A5" w:rsidRDefault="003575A5" w:rsidP="0091566F">
          <w:pPr>
            <w:pStyle w:val="Encabezado"/>
          </w:pPr>
          <w:r w:rsidRPr="003575A5">
            <w:t>Instructivo para el Proyecto de Regulación de Desagües Pluviales – Ord. 8334/2008</w:t>
          </w:r>
        </w:p>
      </w:tc>
    </w:tr>
  </w:tbl>
  <w:p w:rsidR="003575A5" w:rsidRDefault="003575A5" w:rsidP="009156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AE" w:rsidRDefault="00C340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648E"/>
    <w:multiLevelType w:val="multilevel"/>
    <w:tmpl w:val="A4F6057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EF3D70"/>
    <w:multiLevelType w:val="multilevel"/>
    <w:tmpl w:val="A4F6057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D316CD"/>
    <w:multiLevelType w:val="hybridMultilevel"/>
    <w:tmpl w:val="C91230C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28FB5572"/>
    <w:multiLevelType w:val="hybridMultilevel"/>
    <w:tmpl w:val="6CE87FCA"/>
    <w:lvl w:ilvl="0" w:tplc="2C0A000F">
      <w:start w:val="1"/>
      <w:numFmt w:val="decimal"/>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4" w15:restartNumberingAfterBreak="0">
    <w:nsid w:val="52490C58"/>
    <w:multiLevelType w:val="hybridMultilevel"/>
    <w:tmpl w:val="6A467E20"/>
    <w:lvl w:ilvl="0" w:tplc="54F49630">
      <w:start w:val="1"/>
      <w:numFmt w:val="decimal"/>
      <w:lvlText w:val="%1.1"/>
      <w:lvlJc w:val="righ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5" w15:restartNumberingAfterBreak="0">
    <w:nsid w:val="5A077B27"/>
    <w:multiLevelType w:val="hybridMultilevel"/>
    <w:tmpl w:val="93860C88"/>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6DCA3A33"/>
    <w:multiLevelType w:val="multilevel"/>
    <w:tmpl w:val="A4F6057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CF6366C"/>
    <w:multiLevelType w:val="multilevel"/>
    <w:tmpl w:val="F4B436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DCB16E4"/>
    <w:multiLevelType w:val="multilevel"/>
    <w:tmpl w:val="A4F6057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F5A0663"/>
    <w:multiLevelType w:val="hybridMultilevel"/>
    <w:tmpl w:val="6166DF32"/>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2"/>
  </w:num>
  <w:num w:numId="6">
    <w:abstractNumId w:val="5"/>
  </w:num>
  <w:num w:numId="7">
    <w:abstractNumId w:val="9"/>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A5"/>
    <w:rsid w:val="000119A8"/>
    <w:rsid w:val="00026EA8"/>
    <w:rsid w:val="0004288C"/>
    <w:rsid w:val="00044CC3"/>
    <w:rsid w:val="00065A2F"/>
    <w:rsid w:val="00085659"/>
    <w:rsid w:val="000A1B81"/>
    <w:rsid w:val="000A6658"/>
    <w:rsid w:val="000C4676"/>
    <w:rsid w:val="000C5C34"/>
    <w:rsid w:val="000E434D"/>
    <w:rsid w:val="000E51BA"/>
    <w:rsid w:val="000E61A0"/>
    <w:rsid w:val="0010642B"/>
    <w:rsid w:val="001368BF"/>
    <w:rsid w:val="001474C0"/>
    <w:rsid w:val="00161977"/>
    <w:rsid w:val="0016365B"/>
    <w:rsid w:val="001676D4"/>
    <w:rsid w:val="00170D77"/>
    <w:rsid w:val="00194FE4"/>
    <w:rsid w:val="001A0013"/>
    <w:rsid w:val="001A7823"/>
    <w:rsid w:val="001C0B39"/>
    <w:rsid w:val="001C1CFC"/>
    <w:rsid w:val="00220029"/>
    <w:rsid w:val="00220DF8"/>
    <w:rsid w:val="00242F04"/>
    <w:rsid w:val="00257D16"/>
    <w:rsid w:val="00260FFB"/>
    <w:rsid w:val="00273480"/>
    <w:rsid w:val="00287552"/>
    <w:rsid w:val="002914ED"/>
    <w:rsid w:val="00294F85"/>
    <w:rsid w:val="002A0460"/>
    <w:rsid w:val="002A0D24"/>
    <w:rsid w:val="002C7516"/>
    <w:rsid w:val="002D0C4A"/>
    <w:rsid w:val="002D51CC"/>
    <w:rsid w:val="002E6ED9"/>
    <w:rsid w:val="003002B3"/>
    <w:rsid w:val="00325E3C"/>
    <w:rsid w:val="00335C49"/>
    <w:rsid w:val="003575A5"/>
    <w:rsid w:val="0036133B"/>
    <w:rsid w:val="00370C33"/>
    <w:rsid w:val="003710F6"/>
    <w:rsid w:val="00382332"/>
    <w:rsid w:val="00392A9C"/>
    <w:rsid w:val="00393EA2"/>
    <w:rsid w:val="003B7F27"/>
    <w:rsid w:val="003C0FBF"/>
    <w:rsid w:val="003C636C"/>
    <w:rsid w:val="003E0AA3"/>
    <w:rsid w:val="003E5FA4"/>
    <w:rsid w:val="003E786F"/>
    <w:rsid w:val="003F3776"/>
    <w:rsid w:val="003F59B1"/>
    <w:rsid w:val="00421705"/>
    <w:rsid w:val="004338B3"/>
    <w:rsid w:val="0044033B"/>
    <w:rsid w:val="0045697C"/>
    <w:rsid w:val="004B2FB2"/>
    <w:rsid w:val="004C3B91"/>
    <w:rsid w:val="00501B11"/>
    <w:rsid w:val="005111EC"/>
    <w:rsid w:val="00534FB3"/>
    <w:rsid w:val="00586C60"/>
    <w:rsid w:val="005A2A74"/>
    <w:rsid w:val="005B5B77"/>
    <w:rsid w:val="005C03A9"/>
    <w:rsid w:val="005C4D86"/>
    <w:rsid w:val="0060068E"/>
    <w:rsid w:val="00602E9D"/>
    <w:rsid w:val="00622697"/>
    <w:rsid w:val="00626669"/>
    <w:rsid w:val="00630AA7"/>
    <w:rsid w:val="00657389"/>
    <w:rsid w:val="00660A5A"/>
    <w:rsid w:val="006816EB"/>
    <w:rsid w:val="006B4F7C"/>
    <w:rsid w:val="006C1D2F"/>
    <w:rsid w:val="006C2BCC"/>
    <w:rsid w:val="006D22E2"/>
    <w:rsid w:val="006F72F8"/>
    <w:rsid w:val="006F75B2"/>
    <w:rsid w:val="0071393C"/>
    <w:rsid w:val="007151C2"/>
    <w:rsid w:val="00733D34"/>
    <w:rsid w:val="00754A50"/>
    <w:rsid w:val="00780B02"/>
    <w:rsid w:val="00781E9F"/>
    <w:rsid w:val="007849D8"/>
    <w:rsid w:val="007C6773"/>
    <w:rsid w:val="007D5B22"/>
    <w:rsid w:val="007D694D"/>
    <w:rsid w:val="007E13D1"/>
    <w:rsid w:val="007E7357"/>
    <w:rsid w:val="007F60E2"/>
    <w:rsid w:val="0083554A"/>
    <w:rsid w:val="008427B9"/>
    <w:rsid w:val="00843C40"/>
    <w:rsid w:val="00851E75"/>
    <w:rsid w:val="008520E4"/>
    <w:rsid w:val="00853EB0"/>
    <w:rsid w:val="00857BF4"/>
    <w:rsid w:val="00882823"/>
    <w:rsid w:val="0088434C"/>
    <w:rsid w:val="008909A4"/>
    <w:rsid w:val="008A1CF4"/>
    <w:rsid w:val="008A2404"/>
    <w:rsid w:val="008D5352"/>
    <w:rsid w:val="008D5894"/>
    <w:rsid w:val="008D6E32"/>
    <w:rsid w:val="0091566F"/>
    <w:rsid w:val="009231DA"/>
    <w:rsid w:val="0092605D"/>
    <w:rsid w:val="009272A2"/>
    <w:rsid w:val="0094453D"/>
    <w:rsid w:val="00966A40"/>
    <w:rsid w:val="009958B5"/>
    <w:rsid w:val="009A3264"/>
    <w:rsid w:val="009B3F75"/>
    <w:rsid w:val="009F7A28"/>
    <w:rsid w:val="00A12B67"/>
    <w:rsid w:val="00A20E0E"/>
    <w:rsid w:val="00A37E19"/>
    <w:rsid w:val="00A43BCB"/>
    <w:rsid w:val="00A72440"/>
    <w:rsid w:val="00A76EE2"/>
    <w:rsid w:val="00AB54B9"/>
    <w:rsid w:val="00AC3A2B"/>
    <w:rsid w:val="00AF0BA3"/>
    <w:rsid w:val="00AF47AD"/>
    <w:rsid w:val="00B046E9"/>
    <w:rsid w:val="00B261A1"/>
    <w:rsid w:val="00B26E9F"/>
    <w:rsid w:val="00B36DBC"/>
    <w:rsid w:val="00B3780A"/>
    <w:rsid w:val="00B64142"/>
    <w:rsid w:val="00B777D6"/>
    <w:rsid w:val="00B8514A"/>
    <w:rsid w:val="00BA05CA"/>
    <w:rsid w:val="00BA5638"/>
    <w:rsid w:val="00C21999"/>
    <w:rsid w:val="00C340AE"/>
    <w:rsid w:val="00C35E56"/>
    <w:rsid w:val="00C44565"/>
    <w:rsid w:val="00C829BB"/>
    <w:rsid w:val="00C85E89"/>
    <w:rsid w:val="00CC7DBE"/>
    <w:rsid w:val="00CD5113"/>
    <w:rsid w:val="00CE000C"/>
    <w:rsid w:val="00CE214D"/>
    <w:rsid w:val="00D01024"/>
    <w:rsid w:val="00D02C27"/>
    <w:rsid w:val="00D1035E"/>
    <w:rsid w:val="00D13E0D"/>
    <w:rsid w:val="00D5491D"/>
    <w:rsid w:val="00D67A74"/>
    <w:rsid w:val="00D83066"/>
    <w:rsid w:val="00D97853"/>
    <w:rsid w:val="00DB57B7"/>
    <w:rsid w:val="00DC2E3D"/>
    <w:rsid w:val="00DD107B"/>
    <w:rsid w:val="00DD183C"/>
    <w:rsid w:val="00DE467F"/>
    <w:rsid w:val="00DF6C72"/>
    <w:rsid w:val="00E66F9F"/>
    <w:rsid w:val="00E704FB"/>
    <w:rsid w:val="00E758D7"/>
    <w:rsid w:val="00EB2118"/>
    <w:rsid w:val="00EB2442"/>
    <w:rsid w:val="00F04D2F"/>
    <w:rsid w:val="00F20B00"/>
    <w:rsid w:val="00F20B93"/>
    <w:rsid w:val="00F44D42"/>
    <w:rsid w:val="00F46A5B"/>
    <w:rsid w:val="00F60A77"/>
    <w:rsid w:val="00F85AFA"/>
    <w:rsid w:val="00F937EE"/>
    <w:rsid w:val="00F963CF"/>
    <w:rsid w:val="00F9688B"/>
    <w:rsid w:val="00FB0144"/>
    <w:rsid w:val="00FB4C7D"/>
    <w:rsid w:val="00FD7795"/>
    <w:rsid w:val="00FF36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4FFFC"/>
  <w15:docId w15:val="{22168A38-E873-4AC5-853A-97215032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66F"/>
    <w:pPr>
      <w:ind w:firstLine="284"/>
      <w:jc w:val="both"/>
    </w:pPr>
    <w:rPr>
      <w:rFonts w:ascii="Times New Roman" w:hAnsi="Times New Roman" w:cs="Times New Roman"/>
    </w:rPr>
  </w:style>
  <w:style w:type="paragraph" w:styleId="Ttulo1">
    <w:name w:val="heading 1"/>
    <w:basedOn w:val="Normal"/>
    <w:next w:val="Normal"/>
    <w:link w:val="Ttulo1Car"/>
    <w:uiPriority w:val="9"/>
    <w:qFormat/>
    <w:rsid w:val="00853E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75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5A5"/>
  </w:style>
  <w:style w:type="paragraph" w:styleId="Piedepgina">
    <w:name w:val="footer"/>
    <w:basedOn w:val="Normal"/>
    <w:link w:val="PiedepginaCar"/>
    <w:uiPriority w:val="99"/>
    <w:unhideWhenUsed/>
    <w:rsid w:val="003575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75A5"/>
  </w:style>
  <w:style w:type="table" w:styleId="Tablaconcuadrcula">
    <w:name w:val="Table Grid"/>
    <w:basedOn w:val="Tablanormal"/>
    <w:uiPriority w:val="59"/>
    <w:rsid w:val="0035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75A5"/>
    <w:rPr>
      <w:color w:val="0000FF" w:themeColor="hyperlink"/>
      <w:u w:val="single"/>
    </w:rPr>
  </w:style>
  <w:style w:type="character" w:customStyle="1" w:styleId="Ttulo1Car">
    <w:name w:val="Título 1 Car"/>
    <w:basedOn w:val="Fuentedeprrafopredeter"/>
    <w:link w:val="Ttulo1"/>
    <w:uiPriority w:val="9"/>
    <w:rsid w:val="00853EB0"/>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qFormat/>
    <w:rsid w:val="00853EB0"/>
    <w:pPr>
      <w:spacing w:after="0" w:line="240" w:lineRule="auto"/>
      <w:ind w:firstLine="360"/>
      <w:jc w:val="center"/>
    </w:pPr>
    <w:rPr>
      <w:rFonts w:eastAsia="Times New Roman"/>
      <w:kern w:val="28"/>
      <w:sz w:val="48"/>
      <w:szCs w:val="48"/>
    </w:rPr>
  </w:style>
  <w:style w:type="character" w:customStyle="1" w:styleId="TtuloCar">
    <w:name w:val="Título Car"/>
    <w:basedOn w:val="Fuentedeprrafopredeter"/>
    <w:link w:val="Ttulo"/>
    <w:rsid w:val="00853EB0"/>
    <w:rPr>
      <w:rFonts w:ascii="Times New Roman" w:eastAsia="Times New Roman" w:hAnsi="Times New Roman" w:cs="Times New Roman"/>
      <w:kern w:val="28"/>
      <w:sz w:val="48"/>
      <w:szCs w:val="48"/>
    </w:rPr>
  </w:style>
  <w:style w:type="character" w:styleId="nfasissutil">
    <w:name w:val="Subtle Emphasis"/>
    <w:uiPriority w:val="19"/>
    <w:qFormat/>
    <w:rsid w:val="0091566F"/>
  </w:style>
  <w:style w:type="paragraph" w:styleId="Prrafodelista">
    <w:name w:val="List Paragraph"/>
    <w:basedOn w:val="Normal"/>
    <w:uiPriority w:val="34"/>
    <w:qFormat/>
    <w:rsid w:val="0091566F"/>
    <w:pPr>
      <w:ind w:left="720"/>
      <w:contextualSpacing/>
    </w:pPr>
  </w:style>
  <w:style w:type="paragraph" w:styleId="Textodeglobo">
    <w:name w:val="Balloon Text"/>
    <w:basedOn w:val="Normal"/>
    <w:link w:val="TextodegloboCar"/>
    <w:uiPriority w:val="99"/>
    <w:semiHidden/>
    <w:unhideWhenUsed/>
    <w:rsid w:val="00857B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BF4"/>
    <w:rPr>
      <w:rFonts w:ascii="Tahoma" w:hAnsi="Tahoma" w:cs="Tahoma"/>
      <w:sz w:val="16"/>
      <w:szCs w:val="16"/>
    </w:rPr>
  </w:style>
  <w:style w:type="paragraph" w:styleId="Descripcin">
    <w:name w:val="caption"/>
    <w:basedOn w:val="Normal"/>
    <w:next w:val="Normal"/>
    <w:uiPriority w:val="35"/>
    <w:unhideWhenUsed/>
    <w:qFormat/>
    <w:rsid w:val="00857BF4"/>
    <w:pPr>
      <w:spacing w:line="240" w:lineRule="auto"/>
    </w:pPr>
    <w:rPr>
      <w:b/>
      <w:bCs/>
      <w:color w:val="4F81BD" w:themeColor="accent1"/>
      <w:sz w:val="18"/>
      <w:szCs w:val="18"/>
    </w:rPr>
  </w:style>
  <w:style w:type="character" w:styleId="Textodelmarcadordeposicin">
    <w:name w:val="Placeholder Text"/>
    <w:basedOn w:val="Fuentedeprrafopredeter"/>
    <w:uiPriority w:val="99"/>
    <w:semiHidden/>
    <w:rsid w:val="00D978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01D0-D16B-4110-AE1A-7B096A76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2065</Words>
  <Characters>11359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lroldan0</cp:lastModifiedBy>
  <cp:revision>8</cp:revision>
  <cp:lastPrinted>2022-01-26T13:14:00Z</cp:lastPrinted>
  <dcterms:created xsi:type="dcterms:W3CDTF">2024-06-11T12:36:00Z</dcterms:created>
  <dcterms:modified xsi:type="dcterms:W3CDTF">2024-06-18T16:07:00Z</dcterms:modified>
</cp:coreProperties>
</file>